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P/7728/2018 vom 15. Juli 2019</w:t>
      </w:r>
    </w:p>
    <w:p>
      <w:r>
        <w:t>GE Cour de justice, 2019-07-15, FR</w:t>
      </w:r>
    </w:p>
    <w:p>
      <w:r>
        <w:rPr>
          <w:b/>
        </w:rPr>
        <w:t xml:space="preserve">Quelle: </w:t>
      </w:r>
      <w:r>
        <w:t>https://mcp.opencaselaw.ch/entscheid/ge_gerichte_P_7728_2018</w:t>
      </w:r>
    </w:p>
    <w:p>
      <w:r>
        <w:t>FR: GE_GERICHTE P/7728/2018 du 15 juillet 2019</w:t>
      </w:r>
    </w:p>
    <w:p>
      <w:r>
        <w:t>IT: GE_GERICHTE P/7728/2018 del 15 luglio 2019</w:t>
      </w:r>
    </w:p>
    <w:p>
      <w:pPr>
        <w:pStyle w:val="Heading2"/>
      </w:pPr>
      <w:r>
        <w:t>Regeste</w:t>
      </w:r>
    </w:p>
    <w:p>
      <w:r>
        <w:t>FIXATION DE LA PEINE ; PEINE PÉCUNIAIRE ; CONCOURS D'INFRACTIONS ;COMMERCE DE STUPÉFIANTS;CONSOMMATION DE STUPÉFIANTS;LOI FÉDÉRALE SUR LES ÉTRANGERS ET L'INTÉGRATION | LStup.19.al1.letc; LStup.19.leta; LEI.119.al1; CP.47; CP.34.al1; CP.41.al1; CP.49.al1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conclut au prononcé d'une peine pécuniaire clémente. 2.1.1. A teneur de l'art. 19 al. 1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2.1.2. L'art. 119 al. 1 LEI (aLEtr), punit d'une peine privative de liberté de trois ans au plus ou d'une peine pécuniaire quiconque enfreint une assignation à un lieu de résidence ou une interdiction de pénétrer dans une région déterminée (art. 74). 2.1.3.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2.1.4. Selon l'art. 34 al. 1 CP, sauf disposition contraire, la peine pécuniaire est de trois jours-amende au moins et ne peut excéder 180 jours-amende. Le juge fixe leur nombre en fonction de la culpabilité de l'auteur. 2.1.5. Selon l'art. 41 al. 1 CP, le juge peut prononcer une peine privative de liberté à la place d'une peine pécuniaire si une peine privative de liberté paraît justifiée pour détourner l'auteur d'autres crimes ou délits (a) ou s'il y a lieu de craindre qu'une peine pécuniaire ne puisse pas être exécutée (b).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 par analogie avec l'ancien droit s'agissant du choix de la peine : ATF 134 IV 60 ) (M. DUPUIS / L. MOREILLON / C. PIGUET / S. BERGER / M. MAZOU / V. RODIGARI, Petit commentaire du Code pénal , 2 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 par une autorité administrative (M. DUPUIS / L. MOREILLON / C. PIGUET / S. BERGER / M. MAZOU / V. RODIGARI, op. cit. , n. 3, ad art. 41(1.1.2018)). Au sens de l'art. 42 al. 1 CP, le juge suspend en règle générale l'exécution d'une peine pécuniaire ou d'une peine privative de liberté de deux ans au plus lorsqu'une peine ferme ne paraît pas nécessaire pour détourner l'auteur d'autres crimes ou délits. 2.1.6 .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2.1.7.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2.1.8.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2.2</w:t>
      </w:r>
    </w:p>
    <w:p>
      <w:r>
        <w:t>En l'espèce, la faute de l'appelant est conséquente, nonobstant la faible quantité de drogue dure vendue contre la somme de CHF 50.- dès lors que c'est la troisième fois qu'il est condamné pour des délits à la LStup commis en l'espace d'un peu plus de deux ans, de sorte qu'il y a lieu de considérer que les avertissements constitués par ses condamnations précédentes n'ont pas été suffisamment dissuasifs. A cela s'ajoute la commission d'une récidive d'une violation d'une interdiction de périmètre commise quelques jours à peine après en avoir fait l'objet, ce qui témoigne à nouveau de la propension et de la facilité avec laquelle il fait égoïstement prévaloir ses intérêts personnels sur le respect de la loi. Si la collaboration de l'appelant a été correcte, il pouvait difficilement contester les faits établis par des constatations survenues en flagrant délit. Quant à sa situation personnelle, elle n'appelle pas de commentaires particuliers, même si elle était difficile compte tenu de son statut en Suisse, dans la mesure où il indique lui-même souhaiter retourner en Sierra Leone, ce qui laisse entendre que cette option est une alternative possible et qu'en définitive aucun élément du dossier ne permet de considérer que d'autres facteurs que sa volonté propre sont à l'origine du maintien de sa présence en Suisse. Sa faute est ainsi aggravée du fait de sa liberté d'agir alors que la prolongation de sa présence en Suisse dans ce statut précaire ne permet pas non plus d'escompter une régularisation de ses conditions de vie. Certes l'appelant indique vouloir quitter la Suisse mais il n'apporte aucun élément de preuve permettant de donner consistance à cet allégué. Ses affirmations selon lesquelles il a désormais pris conscience de ses agissements ne peuvent qu'être relativisés dès lors qu'ils paraissent plus relever de considérations tactiques qu'autre chose au vu des récidives intervenues. Compte tenu de celles-ci et du concours d'infractions, étant relevé que les infractions entrant en concours sont d'une gravité comparable, la quotité de 60 unités pénales décidée par le premier juge, alors que la peine menace est une peine privative de liberté de quatre ans et demi apparaît à tout le moins raisonnable et adéquate. Dans les circonstances qui précèdent, le pronostic à émettre concernant son comportement futur est défavorable vu les nouvelles infractions commises. Le prononcé d'une courte peine privative de liberté s'imposerait déjà en considération de ce qui précède. S'y ajoute cependant le fait que l'appelant fait désormais l'objet d'une mesure d'éloignement prise par les autorités et que sa situation financière est plus qu'incertaine, dans la mesure où il annonce être sans moyens financiers alors qu'il a déjà des dettes et a cessé de payer la somme de CHF 50.- consécutive, selon ses explications, à un arrangement conclu avec le Service des contraventions, ce qui met fortement en doute qu'il puisse s'acquitter d'une peine pécuniaire. Ainsi, contrairement à ce qui est plaidé, le choix du genre de peine effectué par le premier juge est adéquat et ne doit pas être modifié. Mal fondé, l'appel est ainsi rejeté et le jugement sera confirmé.</w:t>
      </w:r>
    </w:p>
    <w:p>
      <w:r>
        <w:rPr>
          <w:b/>
        </w:rPr>
        <w:t>E. 3</w:t>
      </w:r>
    </w:p>
    <w:p>
      <w:r>
        <w:t>L'appelant, qui succombe, supportera les frais de la procédure envers l'État comprenant un émolument de CHF 1'500.-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