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P/769/2019 vom 9. September 2019</w:t>
      </w:r>
    </w:p>
    <w:p>
      <w:r>
        <w:t>GE Cour de justice, 2019-09-09, FR</w:t>
      </w:r>
    </w:p>
    <w:p>
      <w:r>
        <w:rPr>
          <w:b/>
        </w:rPr>
        <w:t xml:space="preserve">Quelle: </w:t>
      </w:r>
      <w:r>
        <w:t>https://mcp.opencaselaw.ch/entscheid/ge_gerichte_P_769_2019</w:t>
      </w:r>
    </w:p>
    <w:p>
      <w:r>
        <w:t>FR: GE_GERICHTE P/769/2019 du 9 septembre 2019</w:t>
      </w:r>
    </w:p>
    <w:p>
      <w:r>
        <w:t>IT: GE_GERICHTE P/769/2019 del 9 settembre 2019</w:t>
      </w:r>
    </w:p>
    <w:p>
      <w:pPr>
        <w:pStyle w:val="Heading2"/>
      </w:pPr>
      <w:r>
        <w:t>Regeste</w:t>
      </w:r>
    </w:p>
    <w:p>
      <w:r>
        <w:t>FIXATION DE LA PEINE;EXPULSION(DROIT PÉNAL) | CP.139.al1; CP.1723; CP.139.par22; CP.186; CP.285; CP.286; LEI.115.al1.letb; LEI.115.al1.letc; LStup.19.al1.letc; LStup.19.al1.letd; CP.177.al1; CP.180.al1; LStup.19a.al1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Conformément à l'art. 66a 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 AARP/202/2017 du 16 juin 2017 consid. 2.5). Il s'agit d'une Kannvorschrift (G. MÜNCH / F. DE WECK, Die neue Landesverweisung, in Art. 66a ff. StGB , Revue de l'avocat 2016, p. 163 ; G. FIOLKA / L. VETTERLI, Landesverweisung nach Art. 66a StGB als strafrechtliche Sanktion ,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 cahier spécial, Plaidoyer 5/2016, p. 98). L'application de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  qu'il en soit, l'intérêt privé de l'intéressé à rester en Suisse devra s'analyser sans perdre de vue que les dispositions de la Convention de sauvegarde des droits de l'homme et des libertés fondamentales (CEDH ; RS 0.101) restent contraignantes, en particulier les art. 3 et 8 CEDH (ATF 139 I 16 consid. 4.2. et 5 ss ; G. MÜNCH / F. DE WECK, op. cit. , p. 166 ; M. BUSSLINGER / P. UEBERSAX, op. cit. , p. 97 et 103 ; K. KÜMIN, op. cit. , p. 14 ; AARP/185/2017 du 2 juin 2017 consid. 2.2).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6B_296/2018 précité consid. 3.1; 6B_1299/2017 précité consid. 2.4).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La durée de l'expulsion n'a pas à être symétrique à la durée de la peine prononcée (TF 6B_549/2019 , consid. 2.3 et arrêt cité). La violation du principe de non-refoulement (art. 33 de la Convention du 28 juillet 1951 relative au statut des réfugiés [RS 0.142.30]; art. 3 CEDH; art. 5 de la Déclaration universelle des droits de l'Homme; art. 7 du Pacte international relatif aux droits civils et politiques, du 16 décembre 1966 [RS 0.103.2]; art. 25 al. 2 et 3 Cst.; art. 5 de la Loi sur l'asile [LAsi; RS 142.31]) ne peut être examinée qu'au stade de l'exécution de la mesure d'expulsion (arrêt du Tribunal fédéral du 3 janvier 2007 consid. 4.2).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 art. 13 Cst. ou 8 CEDH compte tenu d'une absence totale d'intégration en Suisse (arrêt du Tribunal fédéral 6B_242/2019 du 18 mars 2019 consid. 1.3).</w:t>
      </w:r>
    </w:p>
    <w:p>
      <w:r>
        <w:rPr>
          <w:b/>
        </w:rPr>
        <w:t>E. 2.2</w:t>
      </w:r>
    </w:p>
    <w:p>
      <w:r>
        <w:t>L'appelant a déjà été condamné à sept reprises depuis 2009, dont six fois depuis 2016, certes principalement pour infractions à la LEI mais également pour délit à la LStup et violence ou menace contre les autorités ou les fonctionnaires. Dans le cadre de la présente procédure, il est à nouveau condamné pour ces deux dernières infractions, cependant qu'il s'est rendu coupable de multiples autres dont des menaces, des infractions contre le patrimoine, une violation de domicile ainsi qu'une opposition aux actes de l'autorité, dans le cadre de plusieurs procédures jointes pour des faits commis en mars, novembre 2018 et janvier 2019, outre les infractions à la LEI. L'appelant a par ailleurs admis avoir été condamné avant 2009 mais ne plus s'en souvenir précisément. Ainsi, bien que la faute de l'appelant soit d'une gravité moyenne, il reste, au vu de ses antécédents, qu'il est durablement inscrit dans la délinquance, ayant été condamné à de nombreuses reprises en l'espace de trois ans, notamment pour des infractions comportant une certaine violence. Globalement, son comportement témoigne d'une incapacité à respecter l'ordre juridique suisse. Les sanctions prononcées contre l'appelant, qui ont compris des peines privatives de liberté et une libération conditionnelle, ne sont pas parvenues à l'empêcher de commettre de nouvelles infractions. Ainsi, au regard de ses antécédents, on ne peut sous-estimer la gravité et la diversité des infractions faisant l'objet du jugement entrepris. Il est en particulier à craindre que le recourant ne menace à nouveau l'ordre et la sécurité publics, vu ses conditions de vie aléatoires qui, comme le fait remarquer le MP, permettent d'émettre un pronostic défavorable à son égard. Le fait qu'il a pu demander à travailler en prison n'enlève rien à ce qui précède. Il est ainsi manifeste qu'une mesure d'expulsion est de nature à empêcher la commission de nouvelles infractions en Suisse. L'intérêt public à son éloignement est ainsi effectif. Au vu de ce qui précède, A______ ne peut opposer aucun enracinement en Suisse, que ce soit sur le plan social, professionnel ou familial. L'appelant ne s'y est jamais intégré malgré les nombreuses années qu'il a passées en Suisse et, du fait de son statut administratif, n'a jamais eu d'activité professionnelle déclarée. Il est sans domicile, dormant la plupart du temps dans la rue, sans moyens de subsistance. Il fréquente les organismes et les lieux d'assistance publique. A l'occasion de ses multiples auditions dans le cadre de la procédure, il a, la plupart du temps, indiqué mendier ou vivre de la charité. De surcroît, aucun membre de sa famille ne réside en Suisse et il ne démontre, ni n'allègue bénéficier d'un tissu relationnel notable. La durée de séjour de l'appelant en Suisse est certes longue, mais sa portée doit d'emblée être relativisée puisqu'il n'a jamais été autorisé. L'appelant n'est pas venu en Suisse pour y vivre en travaillant régulièrement tout en se fondant dans la population. Malgré la durée de son séjour en Suisse, il n'a aucune perspective de régularisation de son statut qui puisse lui laisser entrevoir le début d'une intégration qui lui fait actuellement totalement défaut. Il apparaît être purement et simplement en rupture de la société, ce qu'il démontre par son statut précaire et son manque de respect de l'autorité et des lois. Face à cette absence totale d'intégration en Suisse malgré une durée de séjour conséquente, ce qui n'est pas contesté, l'appelant oppose principalement la durée de son éloignement, l'absence de contact en Palestine et la situation économique et politique qui y prévaut. Le seul fait que l'appelant indique ne pas avoir de contact avec ses parents, dont il n'allègue pas qu'ils soient décédés, ne signifie pas pour autant qu'il ne puisse renouer contact avec sa famille, d'autant qu'il relève n'avoir tenté de le faire qu'à une seule reprise par téléphone, sans plus d'efforts par la suite. Quant à la situation économique de la Palestine, même si elle se révèle difficile et qu'un taux de chômage élevé y existe, cela ne signifie pas encore que les possibilités de l'appelant de pouvoir s'y resocialiser soient inférieures à ce qu'il rencontre en Suisse, dans la mesure où il a déjà été relevé que de telles conditions n'existaient pas pour lui dans ce pays. Ainsi donc un retour en Palestine, sous cet angle, ne laisse pas augurer d'une resocialisation impossible ou nettement plus difficile qu'en Suisse ou sa socialisation est inexistante et vouée à l'échec. Quant à la question des dangers inhérents à la situation politique des territoires occupés, si tant est que l'appelant soit réellement d'origine palestinienne, elle relève de la situation concrète qui sera examinée au stade de l'exécution de la mesure d'expulsion. Ainsi donc, il n'y a pas lieu, dans les circonstances de l'espèce, de relever un intérêt privé prépondérant de l'appelant face à l'intérêt public à son expulsion. L'appelant ne critique pas la durée de l'expulsion arrêtée à cinq ans qui apparaît adéquate et sera également confirmée, l'exécution de la peine primant celle de l'expulsion. L'appel est rejeté et le jugement entrepris sera confirmé.</w:t>
      </w:r>
    </w:p>
    <w:p>
      <w:r>
        <w:rPr>
          <w:b/>
        </w:rPr>
        <w:t>E. 5.1</w:t>
      </w:r>
    </w:p>
    <w:p>
      <w:r>
        <w:t>L'appel étant rejeté, l'appelant supportera les frais de la procédure, comprenant un émolument de CHF 1'500.- (art. 428 CPP).</w:t>
      </w:r>
    </w:p>
    <w:p>
      <w:r>
        <w:rPr>
          <w:b/>
        </w:rPr>
        <w:t>E. 5.2</w:t>
      </w:r>
    </w:p>
    <w:p>
      <w:r>
        <w:t>Il n'y a pas lieu de revoir les frais arrêtés en première instance.</w:t>
      </w:r>
    </w:p>
    <w:p>
      <w:r>
        <w:rPr>
          <w:b/>
        </w:rPr>
        <w:t>E. 6</w:t>
      </w:r>
    </w:p>
    <w:p>
      <w:r>
        <w:t>6.1. Selon l'art. 135 al. 1 CPP, le défenseur d'office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de CHF 110.- pour l'avocat stagiaire (let. a) et CHF 200.-.- pour le chef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L'activité développée par le défenseur d'office apparaissant conforme, l'indemnité sera arrêtée à CHF 1'323.40 correspondant à l'activité sus-décrite aux tarifs indiqués plus la majoration forfaitaire de 20% (CHF 204.80) et l'équivalent de la TVA au taux de 7.7% en CHF 94.60.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