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P/7676/2023 vom 25. Juli 2024</w:t>
      </w:r>
    </w:p>
    <w:p>
      <w:r>
        <w:t>GE Cour de justice, 2024-07-25, FR</w:t>
      </w:r>
    </w:p>
    <w:p>
      <w:r>
        <w:rPr>
          <w:b/>
        </w:rPr>
        <w:t xml:space="preserve">Quelle: </w:t>
      </w:r>
      <w:r>
        <w:t>https://mcp.opencaselaw.ch/entscheid/ge_gerichte_P_7676_2023</w:t>
      </w:r>
    </w:p>
    <w:p>
      <w:r>
        <w:t>FR: GE_GERICHTE P/7676/2023 du 25 juillet 2024</w:t>
      </w:r>
    </w:p>
    <w:p>
      <w:r>
        <w:t>IT: GE_GERICHTE P/7676/2023 del 25 luglio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2.1.2. À teneur de l'art. 19 al. 1 let. d LStup, est puni d’une peine privative de liberté de trois ans au plus ou d’une peine pécuniaire celui qui, sans droit, possède, détient ou acquiert des stupéfiants ou s’en procure de toute autre manière. Quiconque, sans droit, consomme intentionnellement des stupéfiants ou commet une infraction à l’art. 19 pour assurer sa propre consommation est passible d’une amende (art. 19 a ch. 1 LStup). 2.1.3. L'art. 5 al. 1 LEI dispose que, pour entrer en Suisse, tout étranger doit notamment disposer des moyens financiers nécessaires à son séjour (let. b) et ne représenter aucune menace pour la sécurité et l’ordre publics ni pour les relations internationales de la Suisse (let. c). Les ressortissants de pays tiers doivent disposer de moyens de subsistance suffisants tant pour la durée du séjour envisagé que pour le retour dans le pays d’origine ou être en mesure d’acquérir légalement ces moyens ; ceux-ci sont notamment réputés suffisants s’il est garanti que l’étranger ne fera pas appel à l’aide sociale pendant son séjour dans l’espace Schengen (art. 3 al. 1 et 2 de l'ordonnance sur l'entrée et l'octroi de visas [OEV] et art. 6 par. 1 let. c du règlement (UE) 2016/399 du Parlement européen et du Conseil du 9 mars 2016 [Code frontières Schengen]). 2.2.1. En l'occurrence, alors qu'il semblait acquis, à l'issue de la procédure préliminaire, que l'appelant avait acheté la cocaïne incriminée à D______, il semble finalement, à le suivre aux débats de première instance, qu'il l'aurait achetée à Genève. Cet élément interpelle. Le prévenu perd en cohérence et, partant, en crédibilité. Si les 14 boulettes étaient destinées à sa consommation personnelle – on n'exclut pas que le prévenu ait été opéré en Allemagne en décembre 2022 et qu'il ait pu prendre de la drogue pour soulager la douleur –, on comprendrait mal que, tout juste après les avoir achetées – à supposer qu'il les ait acquises à D______ –, il puisse se rendre en Suisse muni de celles-ci pour se faire remettre CHF 100.- en prêt par un ami. Exporter/importer cette drogue représentait un risque conséquent, accru, en cas de contrôle douanier. Il aurait été logique de la déposer chez lui avant d'entrer en Suisse. La prise d'un tel risque rend la version de l'appelant peu plausible. Compte tenu de la quantité de drogue saisie (14.2 grammes brut) et de son taux de pureté élevé (59.1 %), celle-ci a une valeur marchande assurément plus importante que le prix d'achat articulé par l'appelant (EUR 260.- ou CHF 500.-), au sujet duquel il a d'ailleurs évolué. Que le prévenu se soit mépris sur la quantité achetée, pensant acquérir des boulettes de 0.5 gramme la pièce pour un total de sept à huit grammes, alors qu'elles pèsent en réalité un gramme la pièce, apparaît en outre invraisemblable. Il faut y voir une (vaine) tentative de minimiser les faits. L'expérience montre que la drogue ingérée est souvent l'œuvre de mules, qui optent pour un tel procédé en cas de franchissement de frontière, non celle d'un consommateur pour camoufler l'objet de ses consommations. Les éléments qui précèdent constituent un faisceau d'indices concordants tendant à démontrer que la drogue saisie était en réalité destinée à la vente. En détenant cette drogue, le prévenu a commis un délit à la LStup. Il n'est pas déterminant qu'aucun message concernant un trafic n'ait été trouvé dans son téléphone (cf. arrêt du Tribunal fédéral 6B_1130/2020 du 14 avril 2021 consid. 1.4). A______ sera par conséquent reconnu coupable d'infraction à l'art. 19 al. 1 let. d LStup. Le jugement entrepris sera confirmé sur ce point. 2.2.2. En entrant en Suisse le 9 avril 2023 pour un " aller-retour ", le prévenu n'avait pas besoin de moyens de subsistance. Il pouvait assurer son retour à D______ par ses propres moyens, ne serait-ce qu'en y retournant à pied. Cela vaut également pour les deux à quatre autres entrées concédées par le prévenu, lequel exerçait en outre une activité de magasinier rémunérée si l'on en croit ses dires. Par ailleurs, rien au dossier ne suggère que l'appelant aurait été amené à vendre les stupéfiants saisis, encore moins qu'il serait entré en Suisse, les fois précédentes, en possession de drogue, a fortiori pour la vendre – la Cour est liée par l'état de fait décrit dans l'acte d'accusation (art. 9 et 350 al. 1 CPP). Il ne peut être retenu, dans ces conditions, que l'appelant aurait représenté, de ce fait, une menace pour la sécurité et l'ordre publics suisses. A______ sera acquitté d'infraction à l'art. 115 al. 1 let. a LEI. Le jugement entrepris sera réformé sur ce point.</w:t>
      </w:r>
    </w:p>
    <w:p>
      <w:r>
        <w:rPr>
          <w:b/>
        </w:rPr>
        <w:t>E. 3</w:t>
      </w:r>
    </w:p>
    <w:p>
      <w:r>
        <w:t>3.1.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Le type de drogue et sa pureté doivent aussi être pris en considération (ATF 122 IV 299 consid.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6B_757/2022 du 26 octobre 2022 consid. 2.2).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144 IV 313 consid. 1.1.1 ; arrêt du Tribunal fédéral 6B_1240/2022 du 8 juin 2023 consid. 1.1).</w:t>
      </w:r>
    </w:p>
    <w:p>
      <w:r>
        <w:rPr>
          <w:b/>
        </w:rPr>
        <w:t>E. 3.2</w:t>
      </w:r>
    </w:p>
    <w:p>
      <w:r>
        <w:t>La faute du prévenu ne saurait être minimisée. Il a détenu une drogue dite dure, en quantité non négligeable, d'un taux de pureté relativement élevé, destinée à autrui et donc propre à nuire à la santé de tiers. On ignore le type et la nature du trafic. Il s'agit d'un acte isolé semble-t-il. Le mobile du prévenu est méconnu, puisqu'il le tait. Peut-être ses motivations trouvent-elles leur ancrage dans la dette née en Allemagne des suites de son opération, dès lors qu'il en a fait état plusieurs fois. Si tel était le cas, cela n'excuserait pas ses agissements. Il n'était pas dépourvu, si l'on en juge par ses déclarations. Sa collaboration a été mauvaise car il a fourni des explications fantaisistes. Sa prise de conscience, partant, fait défaut. Aucun regret n'est exprimé, aucune excuse n'est présentée. Marié et père d'une fillette, il aurait dû s'abstenir de verser dans la criminalité. Il n'a pas d'antécédent judiciaire. Les motifs qui précèdent incitent la Cour à opter pour le prononcé d'une peine privative de liberté plutôt que pour celui d'une peine pécuniaire, pour des motifs de prévention spéciale. Ce genre de peine apparaît mieux à même de prévenir la récidive, dans le cas du prévenu. Celui-ci n'a pas hésité à faire le voyage depuis l'Allemagne pour venir s'installer en France voisine et s'adonner, presque aussitôt, au trafic, en détenant, par ingestion, la drogue incriminée – sombrant ainsi dans la délinquance avec une facilité déconcertante. Il se refuse à faire amende honorable. En outre, sa situation personnelle voire financière, précaire (absence de statut en Allemagne) n'est pas de nature à rendre vraisemblable qu'il puisse s'acquitter d'une sanction pécuniaire. Quoi qu'il en soit, il suffit déjà de constater que le prononcé d'une peine privative de liberté est conforme à l'art. 41 al. 1 let. a CP ici. Dans ces conditions, la peine privative de liberté de 60 jours, fixée avec clémence en première instance, sera confirmée. À l'aune du dispositif du jugement du TP, de telles unités pénales ne constituent pas une reformatio in pejus (art. 391 al. 2 CPP) quand bien même elles découlaient, pour le premier juge, d'un concours d'infractions (art. 49 al. 1 CP) finalement écarté. N'est pas considérée comme une modification au détriment du condamné l'acquittement sur un chef d'accusation en appel sans réduction correspondante de la peine prononcée en première instance (Y. JEANNERET / A. KUHN / C. PERRIER DEPEURSINGE (éds), Commentaire romand : Code de procédure pénale suisse, 2 ème éd., Bâle 2019, n. 7 et 9 ad art. 391). Le sursis est acquis au prévenu.</w:t>
      </w:r>
    </w:p>
    <w:p>
      <w:r>
        <w:rPr>
          <w:b/>
        </w:rPr>
        <w:t>E. 4</w:t>
      </w:r>
    </w:p>
    <w:p>
      <w:r>
        <w:t>L'appelant obtient partiellement gain de cause. Les frais de la procédure d'appel seront mis à sa charge à raison de 2/3. Le solde sera laissé à la charge de l'Etat (art. 428 al. 1 CPP). Les frais de la procédure préliminaire et de première instance seront mis à sa charge à raison de 2/3 également (art. 426 al. 1 et 428 al. 3 CPP). Acquitté en partie, l'appelant peut prétendre, dans la même mesure (1/3), à une indemnité pour les dépenses occasionnées par l'exercice raisonnable de ses droits de procédure, tant pour la première que pour la deuxième instance (art. 429 al. 1 let. a et 436 al. 1 CPP). Les notes d'honoraires du Conseil de l'appelant respectant globalement les principes prévalant en matière d'indemnisation du prévenu lui seront accordées : ·         Une indemnité de CHF 648.50 (33.33% de CHF 1'945.80), TVA incluse, pour la procédure préliminaire et de première instance ; ·         Une indemnité de CHF 324.30 (33.33% de CHF 972.90), TVA incluse,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