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P/7659/2019 vom 30. April 2019</w:t>
      </w:r>
    </w:p>
    <w:p>
      <w:r>
        <w:t>GE Cour de justice, 2019-04-30, FR</w:t>
      </w:r>
    </w:p>
    <w:p>
      <w:r>
        <w:rPr>
          <w:b/>
        </w:rPr>
        <w:t xml:space="preserve">Quelle: </w:t>
      </w:r>
      <w:r>
        <w:t>https://mcp.opencaselaw.ch/entscheid/ge_gerichte_P_7659_2019</w:t>
      </w:r>
    </w:p>
    <w:p>
      <w:r>
        <w:t>FR: GE_GERICHTE P/7659/2019 du 30 avril 2019</w:t>
      </w:r>
    </w:p>
    <w:p>
      <w:r>
        <w:t>IT: GE_GERICHTE P/7659/2019 del 30 aprile 2019</w:t>
      </w:r>
    </w:p>
    <w:p>
      <w:pPr>
        <w:pStyle w:val="Heading2"/>
      </w:pPr>
      <w:r>
        <w:t>Regeste</w:t>
      </w:r>
    </w:p>
    <w:p>
      <w:r>
        <w:t>OBTENTION FRAUDULEUSE D'UNE PRESTATION;FAUX MATÉRIEL DANS LES TITRES;SOUPÇON | CP.150; CP.251.ch1</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son appréciation des faits.</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qui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138 IV 86 consid. 4.1.2 p. 91; 137 IV 285 consid. 2.5 p. 288; arrêt du Tribunal fédéral 1B_112/2012 du 6 décembre 2012).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 R. PFISTER-LIECHTI (éd.), La procédure pénale fédérale, Fondation pour la formation continue des juges suisses , Berne 2010, p. 62).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w:t>
      </w:r>
    </w:p>
    <w:p>
      <w:r>
        <w:rPr>
          <w:b/>
        </w:rPr>
        <w:t>E. 3.2</w:t>
      </w:r>
    </w:p>
    <w:p>
      <w:r>
        <w:t>L'art. 150 CP punit, sur plainte, d'une peine privative de liberté de trois ans au plus ou d'une peine pécuniaire celui qui, sans bourse délier, aura frauduleusement obtenu une prestation qu'il savait ne devoir être fournie que contre paiement, notamment celui qui aura utilisé un moyen de transport public. L'infraction est intentionnelle. Le texte légal exige que l'auteur sache qu'il obtient frauduleusement une prestation payante. Cela étant, la doctrine admet le dol éventuel. Il n'est pas nécessaire que l'auteur agisse avec dessein d'enrichissement illégitime; il peut agir par "sport" ou par défi (M. DUPUIS / L. MOREILLON / C. PIGUET / S. BERGER / M. MAZOU / V. RODIGARI (éds), Code pénal - Petit commentaire , 2e éd., Bâle 2017, nos 21 à 23 ad art. 150).</w:t>
      </w:r>
    </w:p>
    <w:p>
      <w:r>
        <w:rPr>
          <w:b/>
        </w:rPr>
        <w:t>E. 3.3</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Sur le plan subjectif, le faux dans les titres est une infraction intentionnelle. L'intention doit porter sur tous les éléments constitutifs, y compris sur le fait que le document ne correspond pas à la vérité et qu'il a une valeur probante. Le dol éventuel suffit (ATF 141 IV 369 consid. 7.4 p. 377).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elle peut donc être déduite du seul fait que l'auteur recourt à un faux (arrêts du Tribunal fédéral 6B_441/2016 du 29 mars 2017 consid. 6.2; 6B_367/2007 du 10 octobre 2007 consid. 4.4 non publié in ATF 133 IV 303 ).</w:t>
      </w:r>
    </w:p>
    <w:p>
      <w:r>
        <w:rPr>
          <w:b/>
        </w:rPr>
        <w:t>E. 3.4</w:t>
      </w:r>
    </w:p>
    <w:p>
      <w:r>
        <w:t>En l'occurrence, CFF SA reproche à la mise en cause d'avoir falsifié sa carte "multicourses" , en y modifiant à la main la date de validité de sa dernière course, dans le but de voyager sans bourse délier. À la lecture de la carte en cause, il est constant que les trois annotations de la date (jour, mois et année) ont été réécrites, ainsi que la mention du lieu de départ, soit " LS " pour Lausanne. L'intéressée conteste avoir agi à des fins de falsification, expliquant qu'elle avait dû écrire ces informations avec plusieurs stylos-billes, car deux d'entre eux s'étaient avérés défectueux. Elle s'était, en outre, trompée de date et avait dû réécrire par-dessus la première inscription, ce qui expliquait que des chiffres étaient inscrits par-dessus d'autres. CFF SA ne voit, dans ces explications, que de fallacieux prétextes. L'examen de la carte en question ne permet pas d'exclure d'emblée la crédibilité des dires de la mise en cause. Le fait qu'elle ait repassé au stylo-bille toutes les annotations, y compris celle relative au lieu de départ (" LS "), est plutôt de nature à accréditer sa version, selon laquelle elle avait agi ainsi car le ou les premiers stylos-billes utilisés étaient défectueux. Il ne paraît pas extraordinaire que la mise en cause ait été porteuse de deux stylos-billes défectueux et, dans l'urgence, elle a pu se tromper de date. Par ailleurs, les cinq courses précédentes avaient toutes été oblitérées, entre le 8 et le 24 janvier 2019. Seule la sixième - litigieuse - a été inscrite à la main. Cette situation tend plutôt à établir que la mise en cause n'était pas coutumière de l'inscription manuscrite sur son titre de transport et qu'elle a donc agi, le 27 février 2019, comme elle l'explique, dans l'urgence. De plus, l'allégation selon laquelle elle a présenté au contrôleur une autre carte "multicourses" entièrement vierge, afin de faire oblitérer une course en remplacement de celle litigieuse, est également crédible puisque la carte qu'elle a présentée à la police, lors de son audition, avait été acquise le 14 février [2019], soit quelques jours avant les faits litigieux et non pour les besoins de la cause. Qu'elle ait été en possession d'une carte entièrement vierge, alors qu'elle utilisait la dernière plage libre de sa carte " multicourses ", tend également à démontrer son intention d'être munie d'un titre de transport valable. Force est ainsi de constater qu'en l'absence de tout autre élément probant, aucun élément du dossier ne permet d'établir que la prévenue aurait modifié la date de validité de sa carte dans l'intention de tromper le contrôleur et voyager gratuitement. Dans ces conditions, l'on ne saurait retenir que les éléments à disposition du Ministère public étaient insuffisants pour exclure une condamnation de la mise en cause, et aucun acte d'enquête ne semble apte à pouvoir révéler une quelconque prévention pénale de la prévenue. La recourante n'en sollicite au demeurant pas.</w:t>
      </w:r>
    </w:p>
    <w:p>
      <w:r>
        <w:rPr>
          <w:b/>
        </w:rPr>
        <w:t>E. 4</w:t>
      </w:r>
    </w:p>
    <w:p>
      <w:r>
        <w:t>Justifiée, l'ordonnance querellée sera donc confirmée.</w:t>
      </w:r>
    </w:p>
    <w:p>
      <w:r>
        <w:rPr>
          <w:b/>
        </w:rPr>
        <w:t>E. 5</w:t>
      </w:r>
    </w:p>
    <w:p>
      <w:r>
        <w:t>La recourante, qui succombe, supportera les frais envers l'État (art. 428 al. 1 CPP et 13 al. 1 du Règlement fixant le tarif des frais en matière pénale, RTFMP ; E 4 10.03), fixés en totalité à CHF 900.-,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