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P/7650/2016 vom 21. Februar 2017</w:t>
      </w:r>
    </w:p>
    <w:p>
      <w:r>
        <w:t>GE Cour de justice, 2017-02-21, FR</w:t>
      </w:r>
    </w:p>
    <w:p>
      <w:r>
        <w:rPr>
          <w:b/>
        </w:rPr>
        <w:t xml:space="preserve">Quelle: </w:t>
      </w:r>
      <w:r>
        <w:t>https://mcp.opencaselaw.ch/entscheid/ge_gerichte_P_7650_2016</w:t>
      </w:r>
    </w:p>
    <w:p>
      <w:r>
        <w:t>FR: GE_GERICHTE P/7650/2016 du 21 février 2017</w:t>
      </w:r>
    </w:p>
    <w:p>
      <w:r>
        <w:t>IT: GE_GERICHTE P/7650/2016 del 21 febbraio 2017</w:t>
      </w:r>
    </w:p>
    <w:p>
      <w:pPr>
        <w:pStyle w:val="Heading2"/>
      </w:pPr>
      <w:r>
        <w:t>Regeste</w:t>
      </w:r>
    </w:p>
    <w:p>
      <w:r>
        <w:t>VOL(DROIT PÉNAL) ; PAR MÉTIER ; DOMMAGES À LA PROPRIÉTÉ(DROIT PÉNAL) ; FIXATION DE LA PEINE ; CONCOURS D'INFRACTIONS ; PEINE COMPLÉMENTAIRE ; DÉFENSE D'OFFICE | CP.139</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la quotité de la peine (art. 399 al. 4 let. b CPP). L'appel suspend la force de chose jugée du jugement attaqué dans les limites des points contestés (art. 402 CPP). En cas d'appel partiel, les points non attaqués du jugement entrent en force à la date à laquelle le jugement de première instance a été rendu et ne peuvent plus être contestés (L. MOREILLON / A. PAREIN-REYMOND, Petit commentaire CPP , Bâle 2016, ad art. 402 CPP, n. 1 et 4 et les références citées). La Chambre limite son examen aux violations décrites dans l'acte d'appel (art. 404 al. 1 CPP), sauf en cas de décisions illégales ou inéquitables (art. 404 al. 2 CPP).</w:t>
      </w:r>
    </w:p>
    <w:p>
      <w:r>
        <w:rPr>
          <w:b/>
        </w:rPr>
        <w:t>E. 1.2</w:t>
      </w:r>
    </w:p>
    <w:p>
      <w:r>
        <w:t>En l'occurrence, l'appel ne porte que sur la fixation de la peine de l'intéressé, de sorte que le verdict de culpabilité rendu par le Tribunal correctionnel le 21 février 2017 est entré en force.</w:t>
      </w:r>
    </w:p>
    <w:p>
      <w:r>
        <w:rPr>
          <w:b/>
        </w:rPr>
        <w:t>E. 2</w:t>
      </w:r>
    </w:p>
    <w:p>
      <w:r>
        <w:t>2.1.1. Selon l'art. 139 ch. 2 CP, le vol par métier est puni d'une peine privative de liberté de dix ans au plus ou d'une peine pécuniaire de 90 jours-amende au moins. D'après l'art. 144 al. 1 CP, les dommages à la propriété sont réprimés d'une peine privative de liberté de trois ans au plus ou d'une peine pécuniaire. Quant à l'infraction à l'art. 19a ch. 1 LStup, elle est passible de l'amende.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2.1.3. 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w:t>
      </w:r>
    </w:p>
    <w:p>
      <w:r>
        <w:rPr>
          <w:b/>
        </w:rPr>
        <w:t>E. 2.2</w:t>
      </w:r>
    </w:p>
    <w:p>
      <w:r>
        <w:t>En l'espèce, la faute de l'appelant est sérieuse. Il a porté atteinte au patrimoine de très nombreuses personnes, à de réitérées reprises, manifestant ainsi un mépris persistant et caractérisé, tant à l'égard de la législation en vigueur en Suisse que des précédentes décisions prises à son encontre par les autorités françaises puis, à une reprise, genevoises. Le nombre de délits commis, sur une brève période, est impressionnant. Son mobile était égoïste, l'intéressé ayant agi par pure convenance personnelle et par appât du gain facile. Sa situation personnelle, certes difficile, n'excuse en rien son comportement, dès lors qu'il l'a lui-même rendue encore plus précaire en venant en Suisse sans aucun moyen de subsistance suffisant, alors qu'il était nourri et logé chez sa mère en France, quand bien même la famille résidait dans un foyer. Le motif avancé pour justifier sa venue à Genève, alors qu'il n'en avait pas les moyens, lié à la prostitution alléguée de sa sœur dans le canton n'est pas significatif, puisqu'il disposait de la voie légale pour dénoncer la situation, à supposer qu'elle le justifiât. Du reste, c'est la voie qui a finalement été employée, l'intéressé ayant expliqué en appel que sa mère avait fini par déposer plainte contre le souteneur de sa sœur. Sans avoir été mauvaise, la collaboration de l'appelant à l'enquête n'a pas été particulièrement bonne, celui-ci n'ayant avoué la plupart de ses méfaits qu'au fur et à mesure des preuves incriminantes recueillies contre lui. En outre, l'intéressé a cherché à minimiser une partie de ses actes, n'admettant qu'à l'heure de son jugement les cas où la vitre avant du véhicule avait été endommagée. Cela étant, une ébauche de prise de conscience par l'appelant du caractère répréhensible de son comportement est perceptible. Ses antécédents sont mauvais et spécifiques, l'appelant s'en étant pris à neuf reprises au patrimoine d'autrui en France, ce dès son jeune âge, et au vu de la condamnation prononcée en Suisse le 16 avril 2016. La responsabilité de l'appelant est entière et aucune des circonstances atténuantes prévues par l'art. 48 CP n'est réalisée ni d'ailleurs plaidée. Il n'y a pas de concours d'infractions entre les différents vols commis, compte tenu de la qualification du métier retenue, mais entre ceux-ci et les dommages à la propriété, soit deux infractions passibles de peine privative de liberté, le délit le plus grave en l'occurrence étant le vol par métier. En outre, il y a lieu de fixer une peine complémentaire au sens de l'art. 49 al. 2 CP, dès lors que l'appelant a été condamné le 16 avril 2016 à une peine privative de liberté de six mois, alors que la série des faits à condamner présentement a été commise auparavant, sauf une occurrence, intervenue le 26 avril 2016. Globalement, au vu des éléments précités, l'ensemble des faits commis par l'appelant du 5 mars au 26 avril 2016 auraient commandé le prononcé d'une peine privative de liberté de l'ordre de trois ans. Compte tenu de la peine privative de liberté de six mois prononcée le 16 avril 2016, aujourd'hui entrée en force, le prononcé d'une peine privative de liberté partiellement complémentaire de deux ans et six mois est correct. Le sursis partiel accordé à l'appelant lui est acquis. Les premiers juges ont tenu compte de la faute de l'appelant dans des proportions adéquates en prononçant une quotité ferme d'un an sur la peine prononcée, en sus des six mois résultant de la condamnation du 16 avril 2016. Le délai d'épreuve fixé à cinq ans n'appelle au surplus aucune critique, les antécédents, la récidive du 26 avril 2016 et la forte détermination de l'appelant suscitant des craintes de réitération. Pour le reste, la quotité de l'amende fixée par le Tribunal correctionnel en lien avec la contravention à la LStup n'est pas contestée en tant que telle et peut être confirmée, étant appropriée à la situation, de même que la peine de substitution prévue à défaut de paiement. Le jugement entrepris doit donc être intégralement confirmé.</w:t>
      </w:r>
    </w:p>
    <w:p>
      <w:r>
        <w:rPr>
          <w:b/>
        </w:rPr>
        <w:t>E. 3</w:t>
      </w:r>
    </w:p>
    <w:p>
      <w:r>
        <w:t>L'appelant, qui succombe, supportera les frais de la procédure envers l'Etat, comprenant un émolument de CHF 1'200.- (art. 428 CPP et art. 14 al. 1 let. e du Règlement fixant le tarif des frais en matière pénale du 22 décembre 2010 [RTFMP ; E 4 10.03]).</w:t>
      </w:r>
    </w:p>
    <w:p>
      <w:r>
        <w:rPr>
          <w:b/>
        </w:rPr>
        <w:t>E. 4</w:t>
      </w:r>
    </w:p>
    <w:p>
      <w:r>
        <w:t>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4.2</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et de CHF 125.- pour un collaborateur (let. b),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AARP/170/2017 du 28 mars 2017 consid. 6.4 ; AARP/147/2016 du 17 mars 2016 consid. 7.3 ; AARP/302/2013 du 14 juin 2013 ; AARP/267/2013 du 7 juin 2013). A Genève, vu l'emplacement des études concernées, à une distance de, au plus, une quinzaine de minutes à pied du Palais de justice, la rémunération forfaitaire de la vacation aller/retour (soit 30 minutes au total) au et du Palais de justice est arrêtée à CHF 20.- pour les avocats stagiaires ( AARP/501/2016 du 9 décembre 2016 consid. 6.2.5).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w:t>
      </w:r>
    </w:p>
    <w:p>
      <w:r>
        <w:rPr>
          <w:b/>
        </w:rPr>
        <w:t>E. 4.3</w:t>
      </w:r>
    </w:p>
    <w:p>
      <w:r>
        <w:t>Compte tenu de ce qui précède, il convient de retrancher de la note de frais déposée les 35 minutes de recherche juridique effectuées par l'avocat stagiaire. Le solde d'activité de l'avocat stagiaire de 7h25 consacré à la prise de connaissance du dossier et à la préparation de l'audience d'appel est admissible, de même que les 20 minutes de travail sur le dossier de la collaboratrice désignée défenseure d'office. A cela s'ajoute la durée de l'audience d'appel d'1h35 et une vacation à cet effet de CHF 20.-. Seule une visite du client à la prison sera prise en compte pour le mois de mai 2017 et les deux visites ainsi considérées seront ajustées au forfait d'1h30 admis à cet égard. Pour le reste, compte tenu de l'activité totale réalisée jusqu'ici de plus de 30 heures, un forfait de 10% doit être pris en considération. En conclusion, l'indemnité sera arrêtée à CHF 1'024.90 correspondant à 1h50 d'activité du collaborateur au tarif de CHF 125.-/heure et à 10h30 d'activité de l'avocat stagiaire au tarif de CHF 65.-/heure, plus une vacation de CHF 20.- et la majoration forfaitaire de 10% (CHF 93.20).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