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P/7576/2018 vom 20. November 2018</w:t>
      </w:r>
    </w:p>
    <w:p>
      <w:r>
        <w:t>GE Cour de justice, 2018-11-20, FR</w:t>
      </w:r>
    </w:p>
    <w:p>
      <w:r>
        <w:rPr>
          <w:b/>
        </w:rPr>
        <w:t xml:space="preserve">Quelle: </w:t>
      </w:r>
      <w:r>
        <w:t>https://mcp.opencaselaw.ch/entscheid/ge_gerichte_P_7576_2018</w:t>
      </w:r>
    </w:p>
    <w:p>
      <w:r>
        <w:t>FR: GE_GERICHTE P/7576/2018 du 20 novembre 2018</w:t>
      </w:r>
    </w:p>
    <w:p>
      <w:r>
        <w:t>IT: GE_GERICHTE P/7576/2018 del 20 novembre 2018</w:t>
      </w:r>
    </w:p>
    <w:p>
      <w:pPr>
        <w:pStyle w:val="Heading2"/>
      </w:pPr>
      <w:r>
        <w:t>Regeste</w:t>
      </w:r>
    </w:p>
    <w:p>
      <w:r>
        <w:t>VIOLATION DE DOMICILE ; CONTRAINTE(DROIT PÉNAL) | cpp.310; cp.186; cp.181; cp.52</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Une non-entrée en matière s'impose également lorsque le litige est de nature purement civile (ATF 137 IV 285 consid. 2.3 p. 287).</w:t>
      </w:r>
    </w:p>
    <w:p>
      <w:r>
        <w:rPr>
          <w:b/>
        </w:rPr>
        <w:t>E. 3.2</w:t>
      </w:r>
    </w:p>
    <w:p>
      <w:r>
        <w:t>Selon l'art. 52 CP, si la culpabilité de l'auteur et les conséquences de son acte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 arrêt du Tribunal fédéral 6B_839/2015 du 26 août 2016 consid. 6.1).</w:t>
      </w:r>
    </w:p>
    <w:p>
      <w:r>
        <w:rPr>
          <w:b/>
        </w:rPr>
        <w:t>E. 4.1</w:t>
      </w:r>
    </w:p>
    <w:p>
      <w:r>
        <w:t>La recourante considère que le comportement du mis en cause serait constitutif de violation de domicile.</w:t>
      </w:r>
    </w:p>
    <w:p>
      <w:r>
        <w:rPr>
          <w:b/>
        </w:rPr>
        <w:t>E. 4.2</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118 IV 167 consid. 1c p. 172; ATF 112 IV 31 consid. 3 p. 33). Il s'ensuit que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(ATF 112 IV 33 consid. 3a, ATF 83 IV 156 consid. 1). Pour retenir une violation de domicile, il faut par ailleurs que l'auteur ait agi de manière illicite. Cette exigence a pour but d'exclure l'infraction lorsque l'auteur est lui-même un ayant droit ou lorsqu'il peut invoquer un fait justificatif (B. CORBOZ, Les infractions en droit suisse , vol. I, Berne, 2010, n. 41-42).</w:t>
      </w:r>
    </w:p>
    <w:p>
      <w:r>
        <w:rPr>
          <w:b/>
        </w:rPr>
        <w:t>E. 4.3</w:t>
      </w:r>
    </w:p>
    <w:p>
      <w:r>
        <w:t>En l'espèce, il est établi que le mis en cause, B______, a pénétré dans la cour litigieuse afin d'y entreposer divers objets et véhicules. Toutefois, il ressort de ses déclarations à la police et des pièces produites par la recourante, que le terrain litigieux est loué depuis, à tout le moins, le 23 décembre 2014 à la société dont il est associé, avec son père. Il avait obtenu l'accord oral de la recourante d'entreposer dans la cour du matériel, après que cette dernière eut installé un mobil-home et un container sur une partie du terrain loué par sa société, au mois de décembre 2016. L'argument de la recourante, selon lequel ledit mobil-home a été installé à une date antérieure à la location du terrain n'est donc pas relevant. Le mis en cause allègue en outre entreposer du matériel dans la cour - que la recourante n'utilisait pas - depuis plusieurs années, ce qu'aucune pièce au dossier ne permet de remettre en cause. Il détenait par ailleurs le code d'accès de la cour, que la recourante n'avait modifié qu'au mois d'avril 2018. En tout état, aucun élément au dossier ne permet de démontrer que la recourante aurait effectivement ordonné au mis en cause ou au père de celui-ci de débarrasser la cour des objets y entreposés. À cet égard, les propos de la recourante sont contradictoires. Dans un premier temps, elle allègue dans sa plainte pénale, avoir été alertée, au début du mois d'avril 2018, par ses voisins de ce que sa cour " s'encombrait à son insu, de manière exponentielle, de déchets propres à une déchetterie " et n'avoir pris connaissance de l'identité du fauteur qu'à la suite d'un appel de la police du 24 avril 2018. Pourtant, lors de son audition à la police, le 2 novembre 2018, elle explique avoir requis du père du mis en cause, par courrier du 16 avril 2018 déjà, de débarrasser la cour litigieuse de tous les objets l'encombrant. Cela étant, ses propos ne sont pas corroborés par les pièces du dossier, en particulier par le courrier sus-évoqué, qui ne fait aucune mention de l'affectation de la cour en question. Il s'ensuit que le mis en cause pouvait penser - sans qu'il n'appartienne aux autorités pénales de décider si c'était à bon escient, cette question étant de nature civile - que l'accès à la cour lui était autorisé. Faute de prévention pénale suffisante, c'est à raison que le Ministère public a refusé d'entrer en matière. À titre superfétatoire, la culpabilité de B______, même si elle était admise, devrait être sensiblement relativisée, compte tenu du contexte hostile opposant les parties, du fait que l'on se trouve en présence d'un conflit de voisinage aigu et que les parties s'opposent dans le cadre d'une procédure ouverte devant le Tribunal des baux et loyers. L'éventuelle culpabilité du mis en cause et les conséquences de ses actes pourraient ainsi être considérées de peu d'importance. Par conséquent, en fonction du large pouvoir d'appréciation que confère l'art. 52 CP, la décision de non-entrée en matière pouvait être rendue pour cette raison également. 4.4.1 Se rend coupable de contrainte selon l'art. 181 CP celui qui, en usant de violence envers une personne ou en la menaçant d'un dommage sérieux, ou en l'entravant de quelque autre manière dans sa liberté d'action, l'aura obligée à faire, à ne pas faire ou à laisser faire un acte. Pour qu'il y ait contrainte au sens de l'art. 181 CP, il ne suffit pas que l'auteur ait adopté l'un des moyens de contrainte prévus par cette disposition; il faut encore que le recours à la contrainte soit illicite dans les circonstances d'espèce, ce qui est le cas lorsque le moyen ou le but est contraire au droit ou encore lorsque le moyen est disproportionné pour atteindre le but visé (ATF 134 IV 216 consid. 4.1; 129 IV 6 consid. 3.4; 119 IV 301 consid. 2b). Il n'y a par ailleurs contrainte que si l'auteur a agi intentionnellement, ce qui signifie notamment qu'il doit avoir conscience des faits rendant son comportement illicite. Le dol éventuel suffit (B. CORBOZ, op.cit ., n. 37 ad art. 181). 4.4.2 L'art. 90 LCR prévoit que celui qui aura violé les règles de la circulation routière édictées par cette loi sera passible de poursuites pénales. Selon l'art. 19 al.2 lit. g OCR, il est interdit de se parquer devant l'accès à des bâtiments ou des terrains d'autrui.</w:t>
      </w:r>
    </w:p>
    <w:p>
      <w:r>
        <w:rPr>
          <w:b/>
        </w:rPr>
        <w:t>E. 4.5</w:t>
      </w:r>
    </w:p>
    <w:p>
      <w:r>
        <w:t>En l'espèce, le Ministère public n'a pas examiné ces dispositions, mais il ressort de la plainte pénale du 25 avril 2018 que la recourante s'est également plainte des véhicules appartenant à la société du mis en cause, stationnés devant sa propriété, de façon à lui en entraver l'accès, " en guise de représailles ", depuis qu'elle avait modifié les codes d'accès à sa cour. Rien au dossier ne permet cependant de corroborer ses propos. Si le mis en cause reconnaît avoir régulièrement stationné des véhicules, appartenant à la société C______ SARL ou à des clients, sur le terrain situé devant la cour de la recourante, il explique toutefois parquer ses véhicules sur ce terrain, depuis plusieurs années, et ceci pour des raisons professionnelles et non comme un moyen de pression. L'intention de nuire à la recourante en limitant sa liberté d'action, sous l'angle de l'art. 181 CP n'apparaît ainsi pas réunie, in casu . Les art. 90 LCR et 19 OCR, quant à eux, n'ont pas pour objet de protéger ses intérêts individuels, de sorte qu'elle n'a pas qualité à les invoquer ici.</w:t>
      </w:r>
    </w:p>
    <w:p>
      <w:r>
        <w:rPr>
          <w:b/>
        </w:rPr>
        <w:t>E. 5</w:t>
      </w:r>
    </w:p>
    <w:p>
      <w:r>
        <w:t>Justifiée, l'ordonnance querellée sera donc confirmée.</w:t>
      </w:r>
    </w:p>
    <w:p>
      <w:r>
        <w:rPr>
          <w:b/>
        </w:rPr>
        <w:t>E. 6</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