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P/7525/2020 vom 11. April 2023</w:t>
      </w:r>
    </w:p>
    <w:p>
      <w:r>
        <w:t>GE Cour de justice, 2023-04-11, FR</w:t>
      </w:r>
    </w:p>
    <w:p>
      <w:r>
        <w:rPr>
          <w:b/>
        </w:rPr>
        <w:t xml:space="preserve">Quelle: </w:t>
      </w:r>
      <w:r>
        <w:t>https://mcp.opencaselaw.ch/entscheid/ge_gerichte_P_7525_2020</w:t>
      </w:r>
    </w:p>
    <w:p>
      <w:r>
        <w:t>FR: GE_GERICHTE P/7525/2020 du 11 avril 2023</w:t>
      </w:r>
    </w:p>
    <w:p>
      <w:r>
        <w:t>IT: GE_GERICHTE P/7525/2020 del 11 aprile 2023</w:t>
      </w:r>
    </w:p>
    <w:p>
      <w:pPr>
        <w:pStyle w:val="Heading2"/>
      </w:pPr>
      <w:r>
        <w:t>Regeste</w:t>
      </w:r>
    </w:p>
    <w:p>
      <w:r>
        <w:t>REPENTIR SINCÈRE;CONCOURS RÉEL;RÈGLEMENT (CE) 1987/2006 | CP.48.letD; CP.49.al2; CP.66a.al1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w:t>
      </w:r>
    </w:p>
    <w:p>
      <w:r>
        <w:rPr>
          <w:b/>
        </w:rPr>
        <w:t>E. 3</w:t>
      </w:r>
    </w:p>
    <w:p>
      <w:r>
        <w:t>L'appelant conteste la quotité de la sanction qui lui a été infligée et reproche en particulier au TCO d'avoir violé l'art. 48 let. d CP en ne retenant pas la circonstance atténuante du repentir sincère.</w:t>
      </w:r>
    </w:p>
    <w:p>
      <w:r>
        <w:rPr>
          <w:b/>
        </w:rPr>
        <w:t>E. 3.1</w:t>
      </w:r>
    </w:p>
    <w:p>
      <w:r>
        <w:t>Selon l'art. 48 let. d CP, le juge atténue la peine si l'auteur a manifesté par des actes un repentir sincère, notamment s'il a réparé le dommage autant qu'on pouvait l'attendre de lui. La circonstance atténuante du repentir sincère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il s'inspire de considérations tactiques et ne mérite donc pas d'indulgence particulière (arrêts du Tribunal fédéral 6B_1038/2020 du 15 février 2021 consid. 1.2.1 ; 6B_443/2020 du 11 juin 2020 consid. 1.2.2 ; 6B_1054/2019 du 27 janvier 2020 consid. 1.1 ; 6B_554/2019 du 26 juin 2019 consid. 4.1). En revanche, des aveux impliquant le condamné lui-même et sans lesquels d'autres auteurs n'auraient pu être 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 Les circonstances atténuantes listées à l'art. 48 CP entraînent une réduction impérative de la peine du condamné (arrêts du Tribunal fédéral 6B_719/2009 du 3 décembre 2009 consid. 3.1 ; 6B_963/2008 du 26 mars 2009 consid. 2.1 ; S. TRECHSEL/M. SEELMANN, Dike Praxiskomentar StGB , 4 ème éd. 2021, n. 3 ad art. 48).</w:t>
      </w:r>
    </w:p>
    <w:p>
      <w:r>
        <w:rPr>
          <w:b/>
        </w:rPr>
        <w:t>E. 3.2</w:t>
      </w:r>
    </w:p>
    <w:p>
      <w:r>
        <w:t>En l'occurrence, le TCO a considéré que la collaboration de l'appelant à la procédure avait été très bonne. Celui-ci avait d'emblée admis les faits, mis en cause ses comparses et aidé à leur identification. Il s'était en outre auto-incriminé pour deux infractions alors qu'il n'existait alors aucun élément au dossier permettant de conclure qu'il en était l'auteur. Par ailleurs, ses regrets semblaient sincères. Cependant, sa prise de conscience n'était pas encore suffisamment aboutie comme le démontraient sa condamnation en Thurgovie pour des faits de violence, sa persistance à minimiser ses actes et les faibles montants versés à ses victimes. Les conditions d'un repentir sincère n'étaient donc pas remplies. Ladite appréciation du complexe de faits ne convainc pas. D'une part, il faut souligner que la coopération de l'appelant a été totale et immédiate. Dès sa première audition le 13 novembre 2020, et avant même d'être confronté aux éléments à charge, il a déclaré avoir commis au moins cinq brigandages, donnés des détails sur leur déroulement, ainsi que sur l'identité de ses complices et leurs lieux de résidence. Les policiers en charge de l'enquête ont d'ailleurs relevé sa très bonne collaboration, laquelle été constante tout au long de la procédure. Confronté à G______, il n'a pas hésité à maintenir intégralement sa version, corroborée par d'autres éléments de preuve comme les images des caméras de surveillance. Ensuite, il faut relever que les dépositions de l'appelant ont été essentielles à la résolution de six infractions de brigandages en bande, et non de deux seulement, ainsi qu'à l'identification de plusieurs autres auteurs potentiels. Comme l'a souligné son défenseur, il est vraisemblable qu'au moins une partie des six brigandages commis par l'appelant n'aurait pu lui être imputée s'il n'avait pas collaboré à l'enquête. D'autre part, l'état d'esprit pénitent de l'appelant a été constant depuis son arrestation. Lors de sa première audition par le MP le 14 novembre 2020, il a expliqué que sa détention en Thurgovie l'avait fait prendre conscience du mal qu'il avait fait à ses victimes, qu'il regrettait profondément ses actes et qu'il méritait d'être condamné. Il a ensuite répété ses excuses en présence desdites victimes. Il a en particulier écrit spontanément et dans des termes authentiques à T______ le lendemain de l'audition de confrontation avec G______, à laquelle celle-ci a également participé, afin de reconnaître une nouvelle fois ses torts et de tenter de réduire le préjudice moral qu'il lui avait infligé. La sincérité du repentir de l'appelant a également été défendue par W______, qui a souligné que c'était la première fois qu'elle venait témoigner en faveur d'un prévenu depuis 2017. L'appelant a de surcroît reconnu intégralement les prétentions en tort moral réclamées par D______, alors que leur montant est supérieur à ce qui est usuellement admis par les tribunaux pour des lésions du type de celles subies par le prénommé (supérieur par exemple à celui octroyé pour la perte d'un orteil ou d'un doigt autre que le pouce : cf. ATF 132 II 117 consid. 2.2.3 en lien avec l'annexe 3 à l'ordonnance sur l'assurance-accidents du 20 décembre 1982). Enfin, l'appelant a décidé de son propre chef de consacrer une partie de son pécule à l'indemnisation de ses victimes. Contrairement à l'opinion de l'instance précédente, la somme de CHF 35.- qu'il verse mensuellement à D______, qui correspond à environ 10% de son pécule, ne saurait été qualifiée de "très faible" . Contrairement à ce qu'a retenu le TCO, l'appelant n'a par ailleurs pas été condamné pour des faits de violence en Thurgovie, mais pour des menaces, notamment contre un fonctionnaire à l'aide d'un pistolet factice, alors qu'il se trouvait en état d'ébriété, ainsi que pour entrée illégale en Suisse et violation de la LArm. Bien que la gravité de ces infractions ne doive pas être négligée, on ne saurait nier que celle-ci est substantiellement inférieure à la commission de plusieurs brigandages en bande. Ainsi, le raisonnement selon lequel il serait possible de conclure de cette condamnation, relative à des faits s'étant produit en janvier 2020, une absence de prise de conscience par l'appelant de la gravité de ses actes n'est pas convainquant. Il en va de même de l'argument selon lequel le contenu de sa lettre d'excuses du 4 février 2022 à T______ démontrerait que cette prise de conscience n'est pas aboutie car il y minimiserait sa responsabilité. Une lecture attentive de cette missive permet au contraire de comprendre clairement que l'appelant a pleinement intégré les conséquences de ses actes et qu'il regrette de ne pas avoir su interrompre l'enchaînement de ses propres actions qui s'est conclu par la commission de brigandages, dont celui ayant affecté T______. Le fait que l'appelant ait utilisé une grande partie de son pécule de CHF 1'426.15 dont il disposait après sa détention en Thurgovie pour aider sa mère et sa sœur en proie à des difficultés économiques, et rendre la pareille à un détenu qui l'avait aidé à son entrée en prison, ne suffit pas à écarter un repentir sincère. Vu ce qui précède, la Chambre de céans est d'avis que l'appelant a fait preuve d'un esprit de repentir concrétisé tant par sa très bonne collaboration à la procédure, avec d'importances conséquences négatives sur le plan de la sanction retenue à son encontre, que par ses actions en faveur des victimes. Comme relevé par son conseil, la circonstance atténuante du repentir sincère serait privée d'une grande partie de sa portée si elle n'était pas retenue dans des circonstances telles que celles du cas d'espèce. Celles-ci ne sont en particulier pas comparables avec celles de l'arrêt du Tribunal fédéral 6B_1054/2019 du 27 janvier 2020 cité par l'autorité précédente, affaire dans laquelle le condamné avait nié à plusieurs reprises les faits qui lui étaient reprochés avant de passer aux aveux, minimisait les diagnostics psychiatriques retenus et reportait une partie de sa responsabilité sur la victime de ses infractions sexuelles. En conclusion, la circonstance atténuante du repentir sincère doit être retenue, ce dont il faut tenir compte dans le cadre de la fixation de la peine.</w:t>
      </w:r>
    </w:p>
    <w:p>
      <w:r>
        <w:rPr>
          <w:b/>
        </w:rPr>
        <w:t>E. 4</w:t>
      </w:r>
    </w:p>
    <w:p>
      <w:r>
        <w:t>4.1. Selon l'art. 140 ch. 3 CP, le brigandage est puni d'une peine privative de liberté de deux ans au moins et de dix ans au plus si son auteur l'a commis en qualité d'affilié à une bande formée pour commettre des brigandages ou des vols. L'art. 147 ch. 1 CP prévoit quant à lui que l'utilisation frauduleuse d'un ordinateur est passible d'une peine privative de liberté de cinq ans au plus ou d'une peine pécuniaire. Enfin, l'art. 123 ch. 1 CP prévoit que les lésions corporelles simples sont sanctionnées par une peine privative de liberté de trois ans au plus ou 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4.3.1.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4.3.2.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de la réduction de la peine pour l'infraction principale de la peine antérieure (ATF 142 IV 265 consid. 2.4.3 et 2.4.4). En effet, celle-ci n'aurait pas eu cette qualité, mais uniquement celle d'infraction aggravante au sens de l'art. 49 al. 1 CP, si l'ensemble des infractions avait été jugé en une seule fois.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nouvelles infractions commises (ATF 142 IV 329 consid. 1.4.2 ; 142 IV 265 consid. 2.4.1 et 2.4.2 ; 137 IV 249 consid. 3.4.2 ; arrêt du Tribunal fédéral 6B_87/2022 du 13 octobre 2022 consid. 2.3). 4.3.3. Dans son arrêt de principe relative à la fixation d'une peine complémentaire, le Tribunal fédéral a précisé qu'au stade du calcul de la peine hypothétique relative à chaque infraction nouvellement jugée, il n'était pas exclu de calculer d'ores et déjà une peine d'ensemble lorsque plusieurs actes délictueux se trouvaient dans une relation étroite sur les plans matériel et temporel (soit une "sous-peine d'ensemble") (ATF 142 IV 265 consid. 2.4.3 ; voir également J. B. ACKERMANN, Basler Kommentar StGB , 4 ème éd. 2019, n. 169 ad art. 49). Le Tribunal fédéral ne fait pas par-là référence au concept de l'unité matérielle d'action, puisqu'en présence d'une telle unité une série de comportements délictueux est considérée comme une seule infraction et un concours (réel) est par conséquent exclu (ATF 133 IV 256 consid. 4.5.3 ; arrêts du Tribunal fédéral 6B_1214/2021 du 26 octobre 2022 consid. 2.1.5 ; 6B_36/2019 du 2 juillet 2019 consid. 3.6.4 ; voir également eu égard aux infractions continues : ATF 116 IV 121 consid. 2b/aa). On doit donc comprendre de la jurisprudence fédérale qu'en présence d'un concours réel concernant plusieurs infractions de nature identique se trouvant dans une relation étroite sur les plans matériel et temporel, il est possible de fixer une "sous-peine d'ensemble" visant à réprimer ces comportements dans le respect de l'art. 49 al. 1 CP et de la jurisprudence y relative, avant de procéder, dans un second temps, à la fixation de la peine d'ensemble – fixation hypothétique s'agissant d'une peine complémentaire – en prenant en compte les autres infractions en concours et en fixant pour chacune d'entre elles une peine hypothétique chiffrée (ATF 142 IV 265 consid. 2.3.3). Un tel procédé a l'avantage d'éviter au juge pénal de fixer de multiples peines hypothétiques chiffrées lorsqu'une même infraction est commise à plusieurs reprises et que ces occurrences se trouvent dans une relation étroite sur les plans matériel et temporel sans que les conditions strictes permettant de retenir une unité matérielle d'action soient remplies. Tel peut par exemple être le cas lorsque de multiples vols ou contraintes sexuelles sont commis régulièrement sur une longue période. Dans ces situations, le calcul d'une peine hypothétique pour chaque infraction identique complexifierait notablement le calcul de la peine et la compréhension du jugement pénal par les parties et ce de manière artificielle, puisque les éléments de chaque peine hypothétique sont semblables et que la quotité de la sanction obtenue reste au final la même. En se fondant sur la jurisprudence susmentionnée (cf. ATF 142 IV 265 ), l'Obergericht zurichois a ainsi calculé une "sous-peine d'ensemble" pour plusieurs infractions de vols commises sur un peu moins d'une année avant de calculer des peines hypothétiques pour les autres infractions commises par le prévenu (cf. arrêt de l'Obergericht ZH, SB160333 du 17 janvier 2017 consid. 2.1). Une situation où une infraction est commise à plusieurs reprises, sans que les conditions strictes permettant de retenir une unité matérielle d'action soient remplies, se retrouve en particulier s'agissant des infractions commises en bande. Il existe une bande au sens de l'art. 140 ch. 3 CP lorsqu'au moins deux personnes se réunissent afin de commettre des infractions, même si celles-ci ne sont pas encore déterminées individuellement à l'avance avec un minimum de planification (ATF 147 IV 176 consid. 2.4.2 ; 135 IV 158 consid. 2.2 et 3.3 ; 132 IV 132 consid. 5.2). Ces infractions doivent toutefois en principe être considérées comme indépendantes les unes des autres (ATF 100 IV 219 consid. 1), de sorte qu'une unité juridique d'action ne peut être retenue. Lorsque, comme dans le cas d'espèce, un auteur commet plusieurs brigandages en bande à des occasions distinctes en relation étroite sur les plans matériel et temporel mais impliquant à chaque reprise une nouvelle décision d'agir, il n'est pas possible de retenir une unité matérielle d'action ; en revanche, dans le cadre de la fixation de la peine, une peine hypothétique d'ensemble peut être fixée pour la totalité de ces infractions commises en bande, y compris dans le cadre d'une peine complémentaire au sens de l'art. 49 al. 2 CP – il s'agira dans ce cas d'une "sous-peine d'ensemble" – sans que chaque infraction individuelle doive se voir attribuer une peine hypothétique.</w:t>
      </w:r>
    </w:p>
    <w:p>
      <w:r>
        <w:rPr>
          <w:b/>
        </w:rPr>
        <w:t>E. 4.4</w:t>
      </w:r>
    </w:p>
    <w:p>
      <w:r>
        <w:t>Aux termes de l'art. 42 al. 1 CP, le juge suspend en règle générale l'exécution d'une peine privative de liberté de deux ans au plus lorsqu'une peine ferme ne paraît pas nécessaire pour détourner l'auteur d'autres crimes ou délits. Selon l'art. 43 al. 1 CP, un sursis partiel peut être octroyé pour les peines allant jusqu'à un maximum de trois ans de peine privative de liberté.</w:t>
      </w:r>
    </w:p>
    <w:p>
      <w:r>
        <w:rPr>
          <w:b/>
        </w:rPr>
        <w:t>E. 5</w:t>
      </w:r>
    </w:p>
    <w:p>
      <w:r>
        <w:t>5.1. La culpabilité de l'appelant eu égard à l'infraction de brigandage en bande est particulièrement lourde. Il a agi lâchement en agressant ses victimes par surprise à la faveur de la nuit et en profitant parfois de leur peur de mourir pour se prémunir de toute résistance. Surtout, l'appelant a fait usage d'un couteau dont il a placé la lame non aiguisée sur le cou de plusieurs victimes, ce qui dénote une dangerosité particulière et aurait pu avoir des conséquences beaucoup plus graves, un mouvement imprévu ne pouvant être exclu, de part ou d'autre, au vu des circonstances dans lesquelles les brigandages ont été commis et du stress inhérent à de telles situations. Ce comportement particulièrement risqué avait pour but unique d'ôter à la victime toute possibilité de fuite, et doit donc être considéré comme particulièrement répréhensible. En outre, la volonté délictuelle de l'appelant a été très intense, puisqu'il a agi à huit reprises en moins d'un mois, avec pour seul motif un but égoïste de lucre. La situation personnelle de l'appelant, et notamment son faible salaire de serveur en Albanie, guère différent de celui perçu par de nombreux autres résidents de son pays, ne saurait expliquer les comportements susmentionnés, et encore moins les justifier. L'appelant le reconnaît d'ailleurs puisqu'en audience d'appel, il a mentionné qu'avant d'arriver en région genevoise, il n'était pas la personne qui transparaissait au travers desdits comportements, preuve de sa bonne insertion dans son pays d'origine, en dépit des difficultés économiques rencontrées. Son casier judiciaire doit être tenu pour vierge eu égard aux circonstances temporelles de sa condamnation en Thurgovie. Sa collaboration a été excellente tout au long de la procédure. Le risque de récidive apparaît faible au vu de la prise de conscience réalisée par l'appelant depuis son arrestation. Vu ce qui précède, il se justifie de fixer une peine privative de liberté hypothétique de 60 mois, englobant la totalité des brigandages commis par l'appelant, lesquels se trouvent dans une relation étroite sur les plans matériel et temporel.</w:t>
      </w:r>
    </w:p>
    <w:p>
      <w:r>
        <w:rPr>
          <w:b/>
        </w:rPr>
        <w:t>E. 5.2</w:t>
      </w:r>
    </w:p>
    <w:p>
      <w:r>
        <w:t>Le crime de brigandage en bande étant l'infraction la plus grave, il convient de l'accroître avec les peines relatives aux autres infractions commises par l'appelant. À cet égard les peines de quatre mois (peine hypothétique de six mois) pour les lésions corporelles simples et de deux mois (peine hypothétique de quatre mois) pour l'utilisation frauduleuse d'un ordinateur arrêtées en première instance apparaissent conformes au droit et en adéquation avec la culpabilité de l'auteur. La peine d'ensemble pour les infractions à juger dans le cadre de la présente procédure s'élève donc à 66 mois de peine privative de liberté. Cette peine sera réduite de 18 mois au titre de la circonstance atténuante du repentir sincère, ce qui aboutit à un total de 48 mois de peine privative de liberté. Il convient finalement de réduire encore cette quotité pour tenir compte du fait que la peine privative de liberté de 22 mois arrêtée par le Bezirksgericht Kreuzlingen comprenait une peine principale entière en lien avec l'infraction de violence ou menace contre un fonctionnaire au sens de l'art. 285 ch. 1 CP. Or, cette peine aurait été minorée si la totalité des infractions commises au jour du jugement de première instance avait été jugée en une seule fois. La réduction de 18 mois (22 [peine réelle] - 6 [peine hypothétique retenue par le TCO]) effectivement opérée par les premiers juges apparaît toutefois excessive au regard de la jurisprudence fédérale ("gemässigte Berücksichtigung" : cf. ATF 142 IV 265 consid. 2.4.4), dès lors que la peine de 22 mois était déjà constituée de peines réduites, sauf concernant l'infraction de violence ou menace à l'encontre d'un fonctionnaire. En conséquence, il convient de limiter cette réduction à six mois. Partant, la peine privative de liberté complémentaire d'ensemble à laquelle doit être condamné l'appelant s'élève à 42 mois ([60 + 4 + 2] - 18 - 6), sous déduction des jours de détention avant jugement accomplis jusqu'au jour du présent arrêt. La peine excédant trois ans, un sursis, même partiel, est exclu (cf. art. 42 al. 1 et 43 al. 1 CP).</w:t>
      </w:r>
    </w:p>
    <w:p>
      <w:r>
        <w:rPr>
          <w:b/>
        </w:rPr>
        <w:t>E. 6</w:t>
      </w:r>
    </w:p>
    <w:p>
      <w:r>
        <w:t>6.1. Selon l'art. 66a al. 1 let. c CP, l'étranger qui est condamné pour une infraction de brigandage au sens de l'art. 140 CP est obligatoirement expulsé de Suisse pour une durée minimale de cinq ans. L'inscription de l'expulsion dans le système d'information Schengen (SIS) est régie par le chapitre IV du Règlement SIS II (règlement CE n°1987/2006). Il est prévu que ce règlement soit remplacé par le règlement (UE) n°2018/1861 du Parlement européen et du Conseil du 28 novembre 2018 (Règlement SIS III) (cf. Échange de notes du 20 décembre 2018 entre la Suisse et l'Union européenne concernant la reprise du règlement (UE) 2018/1861 ; RS 0.362.380.085, RO 2019 3285). L'art. 65 par. 5 du règlement SIS III prévoit cependant qu'il ne s'applique qu'à partir de la date déterminée conformément à l'art. 65 par. 2 du même texte, lequel prévoit que la Commission européenne fixe la date de mise en service du nouveau SIS. Cette date a été fixée au 7 mars 2023 par la décision d'exécution (UE) 2023/201 de la Commission européenne du 30 janvier 2023 (Journal officiel de l'Union européenne, L 027, du 31 janvier 2023, p. 29 ss; https://eur-lex.europa.eu/legal-content/fr/TXT/ ?uri=CELEX%3A32023D0201). Partant, le Règlement SIS III est applicable dans le cas d'espèce. L'art. 24 §1 let. a Règlement SIS III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 Selon l'art. 24 § 2 let. a Règlement SIS III, une telle situation existe notamment lorsqu'un ressortissant d'un pays tiers a été condamné pour une infraction passible d'une peine privative de liberté d'au moins un an. L'art. 21 Règlement SIS III prescrit par ailleurs qu'avant d'introduire un signalement, l'État membre signalant vérifie si le cas est suffisamment approprié, pertinent et important pour justifier cette inscription. Il ne faut pas poser des 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seuil fait qu'un risque de récidive ne soit pas établi ne signifie en particulier pas que la condition de la menace à l'ordre public ne soit pas remplie (ATF 147 IV 340 consid. 4.8). Lorsque les conditions de l'art. 24 par. 2 let. a règlement SIS III sont remplies, un signalement de non-admission doit être réalisé dans le SIS (en ce sens : ATF 147 IV 340 consid. 4.9 ; 146 IV 172 consid. 3.2.2). Une inscription dans le SIS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w:t>
      </w:r>
    </w:p>
    <w:p>
      <w:r>
        <w:rPr>
          <w:b/>
        </w:rPr>
        <w:t>E. 6.2</w:t>
      </w:r>
    </w:p>
    <w:p>
      <w:r>
        <w:t>En l'espèce, les personnes les plus proches de l'appelant, à savoir sa mère et sa sœur, résident en Albanie, pays dont il est ressortissant et dont il parle la langue. Son intérêt à pouvoir circuler librement sur le territoire de l'espace Schengen, au cours de sa période d'expulsion de cinq ans, pour rendre visite à d'autres parents doit être mis en balance avec la sévérité des infractions qu'il a commises sur le territoire suisse depuis son arrivée. Bien qu'il apparaisse avoir pris conscience de la gravité de ses actes et que la probabilité de récidive soit en l'état moindre, la prévention du risque que fait courir à l'ordre public une telle récidive doit, pendant les cinq prochaines années, prévaloir sur l'intérêt privé de l'appelant à rendre visite à sa parenté en Italie, Grèce ou aux Pays-Bas. Cela vaut d'autant plus que ces États restent libres de lui octroyer une dérogation spécifique et que l'appelant a affirmé devant le TCO avoir l'intention de rentrer en Albanie après sa sortie de prison pour y travailler si possible comme mécanicien. Partant, le signalement de l'expulsion dans le SIS ordonné par le TCO sera confirmé.</w:t>
      </w:r>
    </w:p>
    <w:p>
      <w:r>
        <w:rPr>
          <w:b/>
        </w:rPr>
        <w:t>E. 7.1</w:t>
      </w:r>
    </w:p>
    <w:p>
      <w:r>
        <w:t>Selon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7.2</w:t>
      </w:r>
    </w:p>
    <w:p>
      <w:r>
        <w:t>En l'occurrence, l'appelant l'emporte sur l'essentiel, à savoir la fixation de sa peine, et en particulier la reconnaissance de son repentir sincère. Il ne succombe que sur la question accessoire de l'inscription de son expulsion dans le SIS. Les frais de la procédure d'appel s'élèvent à CHF 2'065.-, y compris un émolument de jugement de CHF 1'500.-. Au vu de ce qui précède, il convient de les laisser pour 4/5 èmes à la charge de l'État, l'intimé devant pour sa part en supporter le 1/5 ème .</w:t>
      </w:r>
    </w:p>
    <w:p>
      <w:r>
        <w:rPr>
          <w:b/>
        </w:rPr>
        <w:t>E. 8</w:t>
      </w:r>
    </w:p>
    <w:p>
      <w:r>
        <w:t>Vu que la durée de la peine restant à exécuter excède la durée de la détention déjà subie par l'appelant, ses conclusions en indemnisation pour tort moral liées à une détention injustifiée seront rejetées.</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à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AARP/370/2022 du 29 novembre 2022 consid. 5.2 ; AARP/318/2022 du 17 octobre 2022 consid. 10.2). Le temps de déplacement de l'avocat est considéré comme nécessaire pour la défense d'office au sens de l'art. 135 CPP ( AARP/318/2022 du 17 octobre 2022 consid. 10.3). La rémunération forfaitaire de la vacation aller/retour au et du Palais de justice est arrêtée à CHF 100.- pour les chef d'étude ( AARP/319/2022 du 13 octobre 2022 consid. 7.2 ; AARP/269/2022 du 1 er septembre 2022 consid. 4.1.4).</w:t>
      </w:r>
    </w:p>
    <w:p>
      <w:r>
        <w:rPr>
          <w:b/>
        </w:rPr>
        <w:t>E. 9.2</w:t>
      </w:r>
    </w:p>
    <w:p>
      <w:r>
        <w:t>En l'occurrence, l'état de frais produit par M e C______, défenseur d'office de l'appelant, satisfait sur le principe aux exigences légales et jurisprudentielles régissant l'assistance judiciaire gratuite en matière pénale. Le temps total de 390 minutes (six heures et demi) consacré à l'étude du dossier en préparation de l'audience d'appel apparaît cependant excessif dès lors qu'il s'ajoute aux 400 minutes d'entretien entre l'appelant et son défenseur (temps de déplacement compris). Cela vaut d'autant plus que l'objet de l'appel, bien que nécessitant une bonne connaissance du complexe de faits, était limité dans sa portée, et qu'il peut être considéré que le défenseur de l'appelant avait d'ores et déjà une excellente connaissance du dossier au vu des 77 heures et 10 minutes reconnues en première instance. Dans ces circonstances, un total de 600 minutes (dix heures) pour la préparation de l'audience d'appel, y compris les entretiens entre l'appelant et son défenseur, et la plaidoirie est approprié. Il faut rajouter à cette somme 35 minutes pour la rédaction des conclusions en indemnisation et 140 minutes (deux heures et 20 minutes) pour l'audience d'appel, soit un total de 835 minutes. L'activité reconnue pour la procédure préliminaire, la procédure de première instance et la procédure d'appel dépassant trente heures, le forfait à ajouter en sus sera de 10%. En conclusion, la rémunération du défenseur d'office de l'appelant sera arrêtée à CHF 3'405.90 correspondant à 13.92 heures d'activité au tarif de CHF 200.-/heure (CHF 2'784.-), plus la majoration forfaitaire de 10% (CHF 278.40), la vacation au Palais de de justice pour l'audience d'appel (CHF 100.-), et l'équivalent de la TVA au taux de 7.7% (CHF 243.50). À cette somme s'ajoutent les débours nécessaires d'interprète s'élevant à CHF 384.-, soit un total de CHF 3'789.90.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