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P/7496/2021 vom 25. November 2022</w:t>
      </w:r>
    </w:p>
    <w:p>
      <w:r>
        <w:t>GE Cour de justice, 2022-11-25, FR</w:t>
      </w:r>
    </w:p>
    <w:p>
      <w:r>
        <w:rPr>
          <w:b/>
        </w:rPr>
        <w:t xml:space="preserve">Quelle: </w:t>
      </w:r>
      <w:r>
        <w:t>https://mcp.opencaselaw.ch/entscheid/ge_gerichte_P_7496_2021</w:t>
      </w:r>
    </w:p>
    <w:p>
      <w:r>
        <w:t>FR: GE_GERICHTE P/7496/2021 du 25 novembre 2022</w:t>
      </w:r>
    </w:p>
    <w:p>
      <w:r>
        <w:t>IT: GE_GERICHTE P/7496/2021 del 25 novembre 2022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115 al. 1 LEI punit celui qui séjourne illégalement en Suisse, notamment après l'expiration de la durée du séjour non soumis à autorisation ou du séjour autorisé, d'une peine privative de liberté d'un an au plus ou d'une peine pécuniaire. 2.1.2. 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2.1.3. Sauf disposition contraire, la peine pécuniaire est de trois jours-amende au moins et ne peut excéder 180 jours-amende (art. 34 al. 1 CP). 2.1.4.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 2ème éd., 2017, n. 3 ad art. 41). La Directive 2008/115/CE du Parlement européen et du Conseil du 16 décembre 2008 relative aux normes et procédures communes applicables dans les Etats membres au retour des ressortissants de pays tiers en séjour irrégulier (ci-après: Directive sur le retour) pose le principe de la priorité des mesures de refoulement sur le prononcé d'une peine privative de liberté du ressortissant d'un pays tiers qui est en séjour illégal (cf. ATF 143 IV 249 consid. 1.4.3, 1.5 et 1.9 ; arrêt 6B_1365/2019 du 11 mars 2020 consid. 2.3.1 et 2.3.4). Un tel genre de peine ne peut entrer en ligne de compte que lorsque toutes les mesures raisonnables pour l'exécution de la décision de retour ont été entreprises ( cf . art. 6, 7, 8, 15 et 16 de la Directive 2008/115; ATF 143 IV 249 consid. 1.9). 2.1.5. Selon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2.1.6. 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2.2.1. L'appelant conteste en premier lieu le genre de la peine qui lui a été infligée. Au vu de son retour en Suisse à la suite du renvoi dont il a fait l'objet en mai 2017 vers l'Espagne, la Directive sur le retour ne fait pas obstacle au prononcé d'une peine privative de liberté. Les précédentes condamnations de l'appelant pour le même type d'infractions à des peines pécuniaires, prononcées à quatre reprises depuis 2017, avec sursis, n'ont pas eu l'effet dissuasif escompté, malgré les multiples chances accordées à l'appelant d'amender son comportement. L'appelant ne dispose d'aucune source de revenu, rendant ainsi totalement illusoire toute perspective de recouvrement d'une peine pécuniaire. Partant, le choix d'une peine privative de liberté s'impose, comme retenu à juste titre par le premier juge. De ce fait, l'application de l'art. 34 al. 1 CP n'entre pas en considération. Les conditions d'une exemption de peine, plaidées par l'appelant, ne sont pas réalisées. 2.2.2. La faute de l'appelant n'est pas négligeable. Il persiste, depuis de nombreuses années, à séjourner en Suisse dans l'illégalité, en violation de la législation en vigueur et malgré son renvoi administratif exécuté en mai 2017. Ses nombreux antécédents spécifiques démontrent le peu de poids qu'il accorde aux sanctions prononcées contre lui jusqu'alors, et témoignent d'une volonté délictuelle qui s'ancre durablement au fil des ans. Sa prise de conscience de la portée de ses agissements peut ainsi être considérée comme inexistante. Sa situation personnelle précaire, vu son statut administratif, peut partiellement expliquer, mais ne justifie pas ses actes. L'appelant s'entête à séjourner en Suisse, en dépit de l'absence de perspective d'avenir, au vu de sa situation administrative irrégulière, ses conditions de vie et son défaut d'intégration durable sur le sol helvétique. Il doit néanmoins être relevé que la collaboration de l'appelant dans la procédure a été plutôt bonne, bien qu'il pouvait difficilement nier l'évidence. La quotité de la peine privative de liberté de trois mois, prononcée par le premier juge et non contestée en tant que telle par l'appelant, tient adéquatement compte de ces éléments. Le pronostic quant à son comportement futur doit être considéré comme mauvais au vu de ses nombreux antécédents et de sa volonté assumée de rester sur le territoire suisse malgré les nombreuses condamnations dont il a fait l'objet. L'appelant ne peut être mis au bénéfice du sursis. Il a récidivé dans le délai d'épreuve des précédents sursis accordés les 3 mai 2018, 29 mars 2019 et 30 septembre 2020. Ceux-ci ne seront toutefois pas révoqués en raison du prononcé de la présente peine ferme, dont il peut être attendu qu'elle le détourne définitivement de réitérer ses actions. La non-révocation lui étant, dans tous les cas, acquise (art. 391 al. 2 CPP). Une partie des faits objets de la présente procédure ont été commis avant ceux ayant donné lieu à la condamnation de l'appelant du 30 septembre 2020. Toutefois, dans la mesure où il a été jugé que la peine privative de liberté est le genre de peine approprié pour sanctionner les infractions objet de la présente procédure, y compris pour celles commises avant les faits réprimés par le jugement du 30 septembre 2020, une application de l'art. 49 al. 2 CP n'entre pas en ligne de compte et ne donne pas lieu au prononcé d'une peine partiellement complémentaire. 2.2.3. Pour l'ensemble de ces raisons, le jugement querellé sera intégralement confirmé et l'appel rejeté.</w:t>
      </w:r>
    </w:p>
    <w:p>
      <w:r>
        <w:rPr>
          <w:b/>
        </w:rPr>
        <w:t>E. 3</w:t>
      </w:r>
    </w:p>
    <w:p>
      <w:r>
        <w:t>L'appelant, qui succombe, supportera les frais de la procédure envers l'État comprenant un émolument de jugement de CHF 500.- (art. 428 CPP et 14 al. 1 let. e du règlement fixant le tarif des frais en matière pénale [RTFMP]). Vu l'issue de la procédure d'appel, il n'y a pas lieu de revenir sur la répartition des frais de première instance (art. 426 al. 1 CPP).</w:t>
      </w:r>
    </w:p>
    <w:p>
      <w:r>
        <w:rPr>
          <w:b/>
        </w:rPr>
        <w:t>E. 4</w:t>
      </w:r>
    </w:p>
    <w:p>
      <w:r>
        <w:t>La rémunération de M e B______ pour la procédure d'appel sera arrêtée ex aequo et bono à CHF 775.45, correspondant à trois heures d'activité pour la rédaction du mémoire d'appel au tarif de CHF 200.-/heure (CHF 600.-), plus la majoration forfaitaire de 20% (CHF 120.-) et l'équivalent de la TVA au taux de 7.7% en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