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P/7485/2018 vom 23. April 2019</w:t>
      </w:r>
    </w:p>
    <w:p>
      <w:r>
        <w:t>GE Cour de justice, 2019-04-23, FR</w:t>
      </w:r>
    </w:p>
    <w:p>
      <w:r>
        <w:rPr>
          <w:b/>
        </w:rPr>
        <w:t xml:space="preserve">Quelle: </w:t>
      </w:r>
      <w:r>
        <w:t>https://mcp.opencaselaw.ch/entscheid/ge_gerichte_P_7485_2018</w:t>
      </w:r>
    </w:p>
    <w:p>
      <w:r>
        <w:t>FR: GE_GERICHTE P/7485/2018 du 23 avril 2019</w:t>
      </w:r>
    </w:p>
    <w:p>
      <w:r>
        <w:t>IT: GE_GERICHTE P/7485/2018 del 23 aprile 2019</w:t>
      </w:r>
    </w:p>
    <w:p>
      <w:pPr>
        <w:pStyle w:val="Heading2"/>
      </w:pPr>
      <w:r>
        <w:t>Regeste</w:t>
      </w:r>
    </w:p>
    <w:p>
      <w:r>
        <w:t>CONTRAINTE(DROIT PÉNAL);COMMANDEMENT DE PAYER | CP.181; CPP.310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être entré en matière sur sa plainte du 19 avril 2018.</w:t>
      </w:r>
    </w:p>
    <w:p>
      <w:r>
        <w:rPr>
          <w:b/>
        </w:rPr>
        <w:t>E. 3.1</w:t>
      </w:r>
    </w:p>
    <w:p>
      <w:r>
        <w:t>À teneur de l'art. 310 al. 1 let. a CPP, le procureur rend immédiatement une ordonnance de non-entrée en matière s'il ressort de la dénonciation que les éléments constitutifs de l'infraction ne sont manifestement pas réunis. Selon la jurisprudence, cette disposition doit être appliquée conformément au principe "in dubio pro duriore" . Le ministère public ne peut rendre une ordonnance de non-entrée en matière que si la situation est claire sur le plan factuel et juridique, respectivement lorsqu'il est certain que les faits ne sont pas punissables (arrêt du Tribunal fédéral 6B_226/2019 du 29 mars 2019 consid. 3.1).</w:t>
      </w:r>
    </w:p>
    <w:p>
      <w:r>
        <w:rPr>
          <w:b/>
        </w:rPr>
        <w:t>E. 3.2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p. 19) ou l'envoi d'un commandement de payer d'une importante somme d'argent (arrêt du Tribunal fédéral 6B_1188/2017 du 5 juin 2018 consid. 3.1) constituent la menace d'un dommage sérieux.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w:t>
      </w:r>
    </w:p>
    <w:p>
      <w:r>
        <w:rPr>
          <w:b/>
        </w:rPr>
        <w:t>E. 3.3</w:t>
      </w:r>
    </w:p>
    <w:p>
      <w:r>
        <w:t>En l'espèce, le moyen utilisé, soit la notification d'un commandement de payer est conforme à la Loi fédérale sur la poursuite pour dettes et la faillite (LP; RS 281.1). Quant au but poursuivi, la mise en cause justifie sa créance par l'existence d'irrégularités commises depuis plusieurs années, qui auraient influé sur le prix de vente des actions. En outre, compte tenu de la consorité nécessaire formée par les actionnaires, elle aurait été contrainte d'actionner en justice tous les vendeurs pour l'intégralité du dommage, sans égard à leur responsabilité effective, sous peine de nullité. À cet égard, il ressort du dossier que la mise en cause est entrée en pourparlers et a signé un accord avec, à tout le moins, un ancien actionnaire, et qu'elle a entrepris des démarches judiciaires pour faire reconnaître ses droits. Certes, la recourante déclare n'être qu'un actionnaire minoritaire passif et conteste toute responsabilité dans le dommage causé; toutefois, elle n'est pas étrangère au contexte dans lequel le contrat de vente a été conclu. Il existe donc, sur le plan pénal, un lien suffisant entre la créance invoquée par la mise en cause - sans qu'il n'appartienne aux autorités pénales de décider si ladite créance est fondée ou non, cette question étant de nature civile -, et le montant réclamé, qui n'apparait pas exorbitant au regard de la vente concernée et n'excède pas le préjudice que la mise en cause affirme avoir subi et réclame au civil. Partant, c'est à juste titre que le Ministère public a retenu que le procédé - licite - utilisé par la mise en cause n'est pas un moyen de pression abusif pour obtenir la signature de la renonciation à invoquer la prescription, au sens de la jurisprudence relative à l'art. 181 CP, étant précisé qu'il existe à ce jour à nouveau une cause pendante au civil entre les parties ensuite du dépôt d'une troisième requête en conciliation, laquelle a abouti à une autorisation de procéder le 26 août dernier. Iln'existe ainsi pas de prévention pénale suffisante de contrainte et le recours doit être rejeté.</w:t>
      </w:r>
    </w:p>
    <w:p>
      <w:r>
        <w:rPr>
          <w:b/>
        </w:rPr>
        <w:t>E. 4</w:t>
      </w:r>
    </w:p>
    <w:p>
      <w:r>
        <w:t>Justifiée, l'ordonnance querellée sera donc confirmée.</w:t>
      </w:r>
    </w:p>
    <w:p>
      <w:r>
        <w:rPr>
          <w:b/>
        </w:rPr>
        <w:t>E. 5</w:t>
      </w:r>
    </w:p>
    <w:p>
      <w:r>
        <w:t>La recourante, qui succombe, supportera les frais envers l'État, qui seront fixés en totalité à CHF 1'500.- (art. 428 al. 1 CPP et 13 al. 1 du Règlement fixant le tarif des frais en matière pénale,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