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P/7469/2014 vom 10. Juni 2016</w:t>
      </w:r>
    </w:p>
    <w:p>
      <w:r>
        <w:t>GE Cour de justice, 2016-06-10, FR</w:t>
      </w:r>
    </w:p>
    <w:p>
      <w:r>
        <w:rPr>
          <w:b/>
        </w:rPr>
        <w:t xml:space="preserve">Quelle: </w:t>
      </w:r>
      <w:r>
        <w:t>https://mcp.opencaselaw.ch/entscheid/ge_gerichte_P_7469_2014</w:t>
      </w:r>
    </w:p>
    <w:p>
      <w:r>
        <w:t>FR: GE_GERICHTE P/7469/2014 du 10 juin 2016</w:t>
      </w:r>
    </w:p>
    <w:p>
      <w:r>
        <w:t>IT: GE_GERICHTE P/7469/2014 del 10 giugno 2016</w:t>
      </w:r>
    </w:p>
    <w:p>
      <w:pPr>
        <w:pStyle w:val="Heading2"/>
      </w:pPr>
      <w:r>
        <w:t>Regeste</w:t>
      </w:r>
    </w:p>
    <w:p>
      <w:r>
        <w:t>IN DUBIO PRO DEBITORE ; PRÉSOMPTION D'INNOCENCE ; VIOLENCE CONTRE LES AUTORITÉS ; INFRACTIONS CONTRE L'AUTORITÉ PUBLIQUE ; INDEMNITÉ(EN GÉNÉRAL) ; DÉFENSE D'OFFICE ; FRAIS DE LA PROCÉDURE | CEDH6.2; CP285.1; CPP135; CPP428; CPP422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rPr>
          <w:b/>
        </w:rPr>
        <w:t>E. 3.1</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ATF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Selon la deuxième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(arrêts du Tribunal fédéral 6B_1009/2014 du 2 avril 2015 consid. 5.1.2 et 6B_257/2010 du</w:t>
      </w:r>
    </w:p>
    <w:p>
      <w:r>
        <w:rPr>
          <w:b/>
        </w:rPr>
        <w:t>E. 5</w:t>
      </w:r>
    </w:p>
    <w:p>
      <w:r>
        <w:t>L'appelant, qui succombe, supportera les frais de la procédure envers l'État (art. 428 CPP), qui comprennent un émolument de jugement de CHF 2'000.- (art. 428 CPP et 14 al. 1 let. e du Règlement fixant le tarif des frais en matière pénale du 22 décembre 2010 [RTFMP ; E 4 10.03]).</w:t>
      </w:r>
    </w:p>
    <w:p>
      <w:r>
        <w:rPr>
          <w:b/>
        </w:rPr>
        <w:t>E. 6</w:t>
      </w:r>
    </w:p>
    <w:p>
      <w:r>
        <w:t>.</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 chef d'étude (let. c), débours de l'étude inclus. En cas d'assujettissement,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6.3</w:t>
      </w:r>
    </w:p>
    <w:p>
      <w:r>
        <w:t>En l'occurrence, considéré dans sa globalité, l'état de frais produit par le défenseur d'office de A______ paraît adéquat et conforme aux principes qui précèdent, sous réserve des 5' consacrées à l'examen de l'ordonnance de la CPAR. Ce poste ne sera toutefois pas écarté vu son peu d'importance quantitative. La déclaration d'appel motivée sera exceptionnellement rémunérée, dans la mesure où elle peut être tenue, au regard des particularités de la procédure, pour un mémoire d'appel. Dans ces circonstances, il n'est pas nécessaire de reprendre le détail des postes qui composent l'état de frais. Aussi, l'indemnité requise sera-t-elle allouée, moyennant la rectification du montant dû pour les 45 minutes d'entretien avec le client, qu'il convient de facturer CHF 150.- au lieu de CHF 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