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P/7464/2015 vom 20. Juli 2016</w:t>
      </w:r>
    </w:p>
    <w:p>
      <w:r>
        <w:t>GE Cour de justice, 2016-07-20, FR</w:t>
      </w:r>
    </w:p>
    <w:p>
      <w:r>
        <w:rPr>
          <w:b/>
        </w:rPr>
        <w:t xml:space="preserve">Quelle: </w:t>
      </w:r>
      <w:r>
        <w:t>https://mcp.opencaselaw.ch/entscheid/ge_gerichte_P_7464_2015</w:t>
      </w:r>
    </w:p>
    <w:p>
      <w:r>
        <w:t>FR: GE_GERICHTE P/7464/2015 du 20 juillet 2016</w:t>
      </w:r>
    </w:p>
    <w:p>
      <w:r>
        <w:t>IT: GE_GERICHTE P/7464/2015 del 20 luglio 2016</w:t>
      </w:r>
    </w:p>
    <w:p>
      <w:pPr>
        <w:pStyle w:val="Heading2"/>
      </w:pPr>
      <w:r>
        <w:t>Regeste</w:t>
      </w:r>
    </w:p>
    <w:p>
      <w:r>
        <w:t>IN DUBIO PRO REO ; PRÉSOMPTION D'INNOCENCE ; INFRACTIONS CONTRE LA VIE ET L'INTÉGRITÉ CORPORELLE ; LÉSION CORPORELLE SIMPLE ; INFRACTIONS CONTRE L'INTÉGRITÉ SEXUELLE ; VIOL ; INFRACTIONS CONTRE LA LIBERTÉ ; MENACE(DROIT PÉNAL) ; CONTRAINTE(DROIT PÉNAL) ; INFRACTIONS CONTRE L'HONNEUR ; INJURE ; FIXATION DE LA PEINE ; CONCOURS D'INFRACTIONS ; FRAIS DE LA PROCÉDURE ; INDEMNITÉ(EN GÉNÉRAL) ; DÉFENSE D'OFFICE ; ASSISTANCE JUDICIAIRE | CP.123 CP.190 CP.180 CP.181 CP.177.1 CP.177.3 CP.34 CP.49 CPP.391.2 CPP.429 CPP.426 CPP.428 CPP.135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L’appelant ne conteste pas l'infraction de lésions corporelles simples qualifiées, laquelle est au demeurant réalisée au regard des éléments du dossier. Le jugement entrepris sera dès lors confirmé sur ce point.</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Le viol est un délit de violence, qui suppose en règle générale une agression physique. Il en résulte que toute pression, tout comportement conduisant à un acte sexuel non souhaité ne saurait être qualifié de contrainte. L'art. 190 CP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w:t>
      </w:r>
    </w:p>
    <w:p>
      <w:r>
        <w:rPr>
          <w:b/>
        </w:rPr>
        <w:t>E. 2.3</w:t>
      </w:r>
    </w:p>
    <w:p>
      <w:r>
        <w:t>Se rend coupable de contrainte selon l'art. 181 CP celui qui, en usant de violence envers une personne ou en la menaçant d'un dommage sérieux, ou en l'entravant de quelque autre manière dans sa liberté d'action, l'aura notamment obligée à faire un acte.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 119 IV 301 consid. 2a ; arrêt du Tribunal fédéral 6B_1081/2014 du 29 juin 2015 consid. 2.2). 2.4.1.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Sont considérées comme des menaces graves celles contre la vie, l'intégrité corporelle ou contre tout autre bien juridique fondamental (J. HURTADO POZO, Droit pénal, partie spéciale , Genève/Zürich/Bâle 2009, n° 2395 ad art. 180 et les références citées).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2.4.2. Alors que dans le cas de l'art. 180 al. 1 CP l'auteur d'une menace sera puni sur plainte uniquement, l'al. 2 prévoit que la poursuite aura lieu d'office si l'auteur est le conjoint de la victime et que la menace a été commise durant le mariage. 2.5.1. L'art. 177 al. 1 CP punit, sur plainte, celui qui aura, par la parole, l'écriture, l'image, le geste ou par des voies de fait, attaqué autrui dans son honneur.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(ATF 117 IV 27 consid. 2c p. 29 ; arrêts Tribunal fédéral 6B_6/2015 du 23 mars 2016 consid. 2.2 ; 6S.147/2002 du 21 août 2002 consid. 3.1., non publié à l'ATF 128 IV 260 ).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 du Tribunal fédéral 6B_557/2013 du 12 septembre 2013 consid. 1.1 ; arrêt du Tribunal fédéral 6B_333/2008 du 9 mars 2009 consid. 1.3 ; ATF 71 IV 187 consid. 2 p. 188). A titre d'exemple, traiter quelqu'un de " mongol " constitue un jugement de valeur injurieux (RJN 1980/81 p. 112). Du point de vue subjectif, il suffit que l'auteur ait eu conscience du caractère attentatoire à l'honneur de ses propos et qu'il les ait proférés néanmoins ; il n'est pas nécessaire qu'il ait eu la volonté de blesser la personne visée (ATF 119 IV 44 consid. 2a). 2.5.2. Selon l'art. 177 al. 3 CP, si l'injurié a riposté immédiatement par une injure ou par des voies de fait, le juge pourra exempter de toute peine les deux délinquants ou l'un d'eux. S'il apparaît au juge que l'un d'eux est responsable à titre prépondérant de l'altercation, il n'exemptera que l'autre (B. CORBOZ, Les infractions en droit suisse , 3 e éd., Berne 2010, n° 35 ad art. 177) 2.6.1. En l'espèce, l'appelant a traité l'intimée d'" obèse " et d'" illettrée ", avant qu'elle ne réplique en le qualifiant de " pédophile " et de " violeur ". Il ne fait aucun doute pour la CPAR que les termes " obèse " et " illettrée " constituent un jugement de valeur objectivement propre à attenter à l'honneur. Au vu du contexte particulièrement conflictuel entre les époux E______, il y a tout lieu d'admettre que l'appelant, frustré et en colère, a choisi ces mots pour rabaisser et offenser l'intimée. De même, il paraît plus que vraisemblable que l'appelant ait également indiqué à l'intimée que " [s]on sexe sent[ait] mauvais ", locution également attentatoire à l'honneur, compte tenu de la volonté, voire l'obstination, manifestée par ce dernier au sujet de la toilette de son épouse. Les dénégations de l'appelant à cet égard n'emportent pas conviction. Ces éléments sont suffisants pour constituer l'infraction à l'art. 177 CP. En outre, la Cour de céans retient que si l'intimée a également proféré des insultes à l'encontre de son époux, - à supposer encore qu'elle l'ait fait immédiatement après avoir été injuriée - c'était au cours d'un litige provoqué et presque essentiellement alimenté par l'appelant, lequel ne conteste notamment pas les lésions corporelles simples, de sorte que ce dernier ne saurait être exempté de peine au sens de l'art. 177 al. 3 CP. L'appel de A______ sur ce point est partant rejeté et le jugement entrepris confirmé. 2.6.2. La CPAR tient pour établi que l'appelant a menacé de mort l'intimée à plusieurs reprises, en particulier avec un couteau pointé dans sa direction et alors qu'elle lui manifestait sa volonté de divorcer. Cela est corroboré tant par les déclarations de leur fille F______, malgré ses rétractations partielles, dès lors que cette dernière a reconnu avoir eu peur de la situation, qu'elle a qualifiée de " dangereuse ", au point de vouloir appeler la police, que par celles de leur fils G______, selon lequel ce type de menaces était courant. A cet égard, le Dr L______ a expliqué que l'appelant ne s'imaginait pas vivre loin de son épouse, de laquelle il était presque dépendant. Ainsi, l'appelant ne peut être suivi lorsqu'il déclare que sa femme s'est approchée de lui en lui demandant de la tuer ou encore qu'il avait utilisé l'expression : " tu vas voir " pour la calmer ou parce qu'il souhaitait se faire du mal. En admettant qu'il ait voulu " faire peur " à l'intimée avec le couteau, il reconnaît d'ailleurs qu'il l'a menacée ainsi qu'il l'a admis devant l'expert. Les propos tenus par l'appelant, selon lesquels il allait notamment " planter " ou encore " égorger " l'intimée, présentent une gravité suffisante pour alarmer ou effrayer leur destinataire. Il a ainsi manifesté sa volonté de s'en prendre physiquement à son épouse au cours d'une dispute particulièrement violente, si bien qu'elle pouvait légitiment craindre qu'il ne mette ses menaces à exécution, d'autant plus qu'il l'avait déjà frappée. Ces propos menaçants ont d'ailleurs à l'évidence effrayé l'intimée, selon les constatations de la Dresse H______. L'intimée s'est en outre adressée au centre LAVI ainsi qu'à la police et a même déposé une requête de mesures protectrices de l'union conjugale à l'encontre de l'appelant. Le verdict de culpabilité sera ainsi confirmé également sur ce point. 2.6.3. S'agissant plus particulièrement de la contrainte exercée, l'intimée a déclaré de manière constante, tant auprès des autorités que de sa fille F______, avoir été forcée à se laver les parties intimes par son époux en colère, qui souhaitait ardemment lui faire l'amour, et avoir été aspergée sous la douche avec de l'eau très chaude, alors qu'elle était vêtue d'une chemise de nuit apparemment, précisant s'être laissée faire par peur d'être maltraitée. A l'inverse, l'appelant n'a cessé de varier dans ses déclarations, plus fantaisistes les unes que les autres, stipulant, d'abord, avoir dû insister pour qu'elle se lave et l'avoir aspergée puis, l'avoir forcée à se doucher sans la pousser dans la salle de bains, et, finalement, l'avoir douchée toute habillée par ludisme, mais reconnaissant que cela ne lui avait probablement pas plu. Par ailleurs, leur différence de taille et la maladie de l'appelant, argument de défense présenté à l'audience d'appel, ne semblent pas l'avoir empêché de frapper " fort " son épouse, comme il l'a lui-même déclaré. La CPAR accordera donc une plus grande crédibilité à la version présentée par l'intimée, soit que son époux l'a contrainte, par la force, à aller dans la baignoire et, par des menaces ainsi que par la peur qu'elle ressentait à ce moment-là, à se laver le sexe pour entretenir des rapports sexuels, les menaces ayant d'ailleurs été mises à exécution. Au vu de ce qui précède, le jugement entrepris doit être confirmé à cet égard également. 2.6.4. La Cour de céans constate que le jour des faits un climat de peur et de tension s'était instauré entre l'appelant et l'intimée. Cela étant, la CPAR se montrera particulièrement prudente dans l'appréciation des critères de l'art. 190 CP, dès lors qu'il s'agit d'un couple formé depuis plus de 35 ans, ayant eu huit enfants, ce d'autant plus que l'intimée, avant de retirer sa plainte pénale pour viol, n'a pas indiqué avoir été contrainte par violence, mais plutôt, semble-t-il, par des menaces ou des pressions d'ordre psychique, plus délicates à déterminer. La Cour retient que l'intimée a fourni un récit qui a varié au fil de ses déclarations. Il est tout d'abord étonnant qu'elle n'ait nullement fait mention d'un rapport sexuel non consenti lors de son audition à la police le même jour, alors qu'elle venait rapporter des violences. Elle s'est par ailleurs contredite sur un fait essentiel : son consentement. Elle a ainsi indiqué à sa fille, à la Dresse H______ et au Ministère public qu'elle n'avait pas eu envie et, sur question de son conseil, qu'elle s'était " sentie forcée " d'entretenir des rapports sexuels, par crainte, sans toutefois préciser de quelle manière. Cependant, avant de revenir sur ses déclarations en ce qu'elle était d'accord, elle a précisé avoir, dans un premier temps, proposé d'elle-même à son époux d'accomplir l'acte sexuel, ce qu'il a confirmé. Dès lors, à supposer que l'intimée n'ait pas été consentante, encore faut-il qu'elle ait manifesté à son époux les signes d'une opposition franche, reconnaissable et déterminée, ce qui ne semble pas être le cas. A cet égard, elle a refusé d'indiquer de quelle manière elle avait fait part de son désaccord. En outre, s'il est vrai que l'appelant a déclaré que son épouse s'était montrée passive durant l'acte et qu'ils s'étaient disputés, il a contesté de manière constante le viol, ayant toujours indiqué qu'elle était consentante pendant l'acte et que la dispute, en particulier les coups et les insultes, avaient débuté seulement postérieurement. De manière générale, il ne ressort pas de la procédure que l'intimée ait entretenu des rapports sexuels conflictuels, voire non consentis, par le passé avec son époux. Leur dernier rapport datait apparemment de quelques jours auparavant et ils avaient de la peine à avoir de l'intimité, compte tenu de la présence de leur fille cadette dans l'appartement. A cet égard, l'appelant a précisé que depuis qu'ils étaient en couple, son épouse ne s'était jamais opposée à l'acte sexuel et qu'il n'insistait pas, par exemple, quand elle était fatiguée. Partant, il s'avère que l'intimée a dénoncé ce fait animée vraisemblablement par la colère, comme elle l'a d'ailleurs admis elle-même, dès lors que bien qu'elle semble avoir subi des pressions de la part de la sœur de l'appelant, l'intimée a malgré tout maintenu les autres accusations portées dans sa plainte, hormis le viol. En application du principe in dubio pro reo , il n'est pas possible de retenir, au-delà de tout doute raisonnable, que l'appelant a contraint, même par dol éventuel, son épouse non consentante à entretenir un rapport sexuel. L'appelant sera ainsi acquitté du chef d'accusation de viol et le jugement entrepris réformé sur ce point.</w:t>
      </w:r>
    </w:p>
    <w:p>
      <w:r>
        <w:rPr>
          <w:b/>
        </w:rPr>
        <w:t>E. 3</w:t>
      </w:r>
    </w:p>
    <w:p>
      <w:r>
        <w:t>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La mesure de l'influence qui doit avoir été exercée sur la victime pour qu'il y ait pression d'ordre psychique n'est pas aisément déterminable, de sorte qu'il y a lieu de se montrer prudent dans l'application des dispositions réprimant le viol ( cf. ATF 128 IV 97 consid. 2b p. 99, 106 consid. 3b/aa p. 111 ; arrêts du Tribunal fédéral 6B_71/2015 du 19 novembre 2015 consid. 2.1.2 et 6B_287/2011 du 3 novembre 2011 consid. 3.1.1). Des adultes en possession de leurs facultés mentales doivent être en mesure d'opposer une résistance plus forte que des enfants (ATF 131 IV 167 consid. 3.1 p. 171).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Tel sera le cas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w:t>
      </w:r>
    </w:p>
    <w:p>
      <w:r>
        <w:rPr>
          <w:b/>
        </w:rPr>
        <w:t>E. 7</w:t>
      </w:r>
    </w:p>
    <w:p>
      <w:r>
        <w:t>7.1. L'infraction d'injure est punie d'une peine pécuniaire de 90 jours-amende au plus et celles de menaces, de contrainte ou de lésions corporelles simples qualifiées d'une peine privative de liberté de trois ans au plus ou d'une peine pécuniaire.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7.2.2.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tribunal doit ensuite arrêter le montant du jour-amende qui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7.2.3.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7.2.4.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7.3</w:t>
      </w:r>
    </w:p>
    <w:p>
      <w:r>
        <w:t>En l'espèce, la faute de l'appelant est importante. Il s'en est pris à l'intégrité corporelle et à la liberté personnelle de l'intimée, à savoir la femme avec laquelle il partageait sa vie. A cela s'ajoutent encore les injures, qui reflètent le mépris de l'appelant à l'égard de son épouse. Selon le rapport d'expertise, l'appelant était pleinement responsable au moment des faits et aucune circonstance atténuante, au sens de l'art. 48 CP, n'est réalisée. Le mauvais dosage de son traitement médical peut expliquer en partie son agressivité, sans pour autant justifier qu'il s'en prenne à son épouse au point de la menacer de mort avec un couteau et de s'acharner sur elle avec une telle violence que sa pommette en a presque été fracturée. Au demeurant, les allégations de l'appelant et les documents produits quant aux hypothétiques effets secondaires de la crème utilisée par l'intimée ne lui sont d'aucun secours, dès lors qu'il a admis lui-même l'avoir frappée " fort " à plusieurs reprises. L'expert a également retenu que la violence manifestée par l'appelant étant d'origine culturelle, une psychothérapie n'aurait pas d'influence sur ses actes, à l'inverse d'une sanction pénale, qui lui paraissait être le seul moyen de diminuer le risque de réitération, étant précisé que l'appelant a lui-même indiqué craindre qu'une altercation du même type ne se reproduise. En outre, l'appelant a déjà été condamné en 2010 en raison de ses accès de violence à l'égard de sa famille, à savoir ses enfants, et cette condamnation, qui constituait une peine d'ensemble avec celle prononcée pour des lésions corporelles simples à l'encontre de l'intimée, ne l'a pas empêché de récidiver. Ces éléments fondent un pronostic défavorable excluant le prononcé d'une mesure de sursis. Les premiers juges ont à juste titre qualifié la collaboration de l'appelant à l'instruction de médiocre et les excuses formulées de pure circonstance. Ainsi, l'appelant, qui a contesté la majeure partie des accusations portées contre lui et constamment varié dans ses déclarations, en particulier s'agissant de la contrainte et des menaces exercées, a exprimé des regrets devant les autorités et l'expert, tout en manifestant sa rancœur ainsi que sa colère à sa sœur, allant même jusqu'à accuser l'intimée de monter leurs enfants et de comploter contre lui afin qu'il soit incarcéré. Son absence d'empathie doit également être prise en considération. Il se justifie de condamner l'appelant à une peine privative de liberté ferme pour les infractions entrant en concours, soit les lésions corporelles simples qualifiées, les menaces et la contrainte. Quant aux injures, elles sont passibles uniquement d'une peine pécuniaire. Au surplus, il y a lieu de tenir compte de l'acquittement partiel prononcé pour le viol. Au vu de ce qui précède, l'appelant sera condamné à une peine privative de liberté de 24 mois, sous déduction de la détention subie avant jugement. Le jugement attaqué sera réformé sur ces points. La peine-pécuniaire de 30 jours-amende à CHF 30.- l'unité prononcée par les premiers juges pour les injures est adéquate, car adaptée à la culpabilité ainsi qu'à la situation personnelle et financière de l'appelant, de sorte qu'elle sera confirmée. La renonciation à la révocation du sursis accordé lors de sa condamnation du ___ 2012 par le Ministère public reste acquise à l'appelant (art. 391 al. 2 CPP).</w:t>
      </w:r>
    </w:p>
    <w:p>
      <w:r>
        <w:rPr>
          <w:b/>
        </w:rPr>
        <w:t>E. 8</w:t>
      </w:r>
    </w:p>
    <w:p>
      <w:r>
        <w:t>Compte tenu de ce qui précède, l'appelant sera débouté de ses conclusions en indemnisation (art. 429 al. 1 let. c CPP). Par ailleurs, l'appelant étant au bénéfice de l'assistance judiciaire, aucune indemnité au sens de l'art. 436 al. 32 CPP ne peut lui être octroyée.</w:t>
      </w:r>
    </w:p>
    <w:p>
      <w:r>
        <w:rPr>
          <w:b/>
        </w:rPr>
        <w:t>E. 9</w:t>
      </w:r>
    </w:p>
    <w:p>
      <w:r>
        <w:t>Dans la mesure où les motifs ayant conduit le Tribunal correctionnel à prononcer par ordonnance séparée du 26 février 2016, le maintien de l'appelant en détention pour des motifs de sûretés sont, mutatis mutandis , toujours d'actualité, ce que l'appelant ne conteste d'ailleurs pas, cette mesure sera reconduite (ATF 139 IV 277 consid. 2.1 à 2.3).</w:t>
      </w:r>
    </w:p>
    <w:p>
      <w:r>
        <w:rPr>
          <w:b/>
        </w:rPr>
        <w:t>E. 10</w:t>
      </w:r>
    </w:p>
    <w:p>
      <w:r>
        <w:t>10.1. 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10.2.1. L'appel de A______ ayant été partiellement admis, il supportera la moitié des frais de la procédure d'appel, comprenant un émolument de jugement de CHF 2'500.- (art. 14 al. 1 let. e du Règlement fixant le tarif des frais en matière pénale du 22 décembre 2010 [RTFMP ; E 4 10.03]), le solde étant laissé à la charge de l'Etat. 10.2.2. La condamnation de l'appelant à payer l'intégralité des frais de la procédure de première instance est injustifiée, vu l'acquittement du chef d'accusation de viol prononcé par la CPAR. Le jugement entrepris sera dès lors modifié et l'appelant condamné à payer les deux tiers des frais de la procédure de première instance, le solde étant laissé à la charge de l'Etat.</w:t>
      </w:r>
    </w:p>
    <w:p>
      <w:r>
        <w:rPr>
          <w:b/>
        </w:rPr>
        <w:t>E. 11.1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11.2.1.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chef d'étude (let. c). En cas d'assujettissement l'équivalent de la TVA est versé en sus. 11.2.2.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11.2.3.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11.3.1. En l'espèce, l'activité de M e B______ en appel est en adéquation avec la nature, l'importance et la difficulté de la cause. Il convient d'y ajouter la durée de l'audience d'appel de deux heures, tenant compte du temps de déplacement, soit un total intermédiaire de CHF 3'100.- (soit 15 heures et 30 minutes à CHF 200.-/heure) auquel il faut ajouter le forfait pour l'activité diverse à 10%, soit CHF 310.-, compte tenu de l'activité déployée et indemnisée en première instance pour plus de 40 heures, et la TVA à 8%, soit CHF 272.80. Ainsi, l'indemnisation requise sera accordée à hauteur de CHF 3'682.80. 11.3.2. L'activité de M e D______ en appel est en adéquation avec la nature, l'importance et la difficulté de la cause. Il convient d'y ajouter la durée de l'audience d'appel de deux heures, tenant compte du temps de déplacement, soit un total intermédiaire de CHF 1'000.- (soit cinq heures à CHF 200.-/heure) auquel il faut ajouter le forfait pour l'activité diverse à 20%, soit CHF 200.-, étant précisé qu'en l'occurrence rien ne justifie de doubler ce forfait, et la TVA à 8%, soit CHF 96.-. Ainsi, l'indemnisation requise sera accordée à hauteur de CHF 1'296.-.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