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P/7462/2017 vom 6. November 2017</w:t>
      </w:r>
    </w:p>
    <w:p>
      <w:r>
        <w:t>GE Cour de justice, 2017-11-06, FR</w:t>
      </w:r>
    </w:p>
    <w:p>
      <w:r>
        <w:rPr>
          <w:b/>
        </w:rPr>
        <w:t xml:space="preserve">Quelle: </w:t>
      </w:r>
      <w:r>
        <w:t>https://mcp.opencaselaw.ch/entscheid/ge_gerichte_P_7462_2017</w:t>
      </w:r>
    </w:p>
    <w:p>
      <w:r>
        <w:t>FR: GE_GERICHTE P/7462/2017 du 6 novembre 2017</w:t>
      </w:r>
    </w:p>
    <w:p>
      <w:r>
        <w:t>IT: GE_GERICHTE P/7462/2017 del 6 novembre 2017</w:t>
      </w:r>
    </w:p>
    <w:p>
      <w:pPr>
        <w:pStyle w:val="Heading2"/>
      </w:pPr>
      <w:r>
        <w:t>Regeste</w:t>
      </w:r>
    </w:p>
    <w:p>
      <w:r>
        <w:t>EXPULSION(DROIT PÉNAL) | CP.66A.BIS</w:t>
      </w:r>
    </w:p>
    <w:p>
      <w:pPr>
        <w:pStyle w:val="Heading2"/>
      </w:pPr>
      <w:r>
        <w:t>Erwägungen</w:t>
      </w:r>
    </w:p>
    <w:p>
      <w:r>
        <w:rPr>
          <w:b/>
        </w:rPr>
        <w:t>E. 1.1</w:t>
      </w:r>
    </w:p>
    <w:p>
      <w:r>
        <w:t>L'appel est recevable pour avoir été interjeté et motivé selon la forme et dans les délais prescrits (art. 398 et 399 CP). La Chambre limite son examen aux violations décrites dans l'acte d'appel (art. 404 al. 1 CPP), sauf en cas de décisions illégales ou inéquitables (art. 404 al. 2 CPP).</w:t>
      </w:r>
    </w:p>
    <w:p>
      <w:r>
        <w:rPr>
          <w:b/>
        </w:rPr>
        <w:t>E. 1.2</w:t>
      </w:r>
    </w:p>
    <w:p>
      <w:r>
        <w:t>L'intimé ne remet à juste titre pas en cause sa condamnation pour infractions à l'art. 19 al. 1 et 19a LStup, ainsi qu'à l'art. 115 al. 1 let. a et b LEtr, de même que les peines prononcées, en adéquation avec les éléments de la procédure et sa situation personnelle. Seul le Ministère public attaque le jugement de première instance dans la mesure où il a été renoncé à ordonner l'expulsion requise pour une durée de cinq ans.</w:t>
      </w:r>
    </w:p>
    <w:p>
      <w:r>
        <w:rPr>
          <w:b/>
        </w:rPr>
        <w:t>E. 2</w:t>
      </w:r>
    </w:p>
    <w:p>
      <w:r>
        <w:t>2.1. A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L'art. 66 a bis CP est une Kann-Vorschrift (G. MÜNCH / F. DE WECK, Die neue Landesverweisung in Art. 66a ff. StGB,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Contrairement à ce qui prévaut en matière d'expulsion obligatoire au sens de l'art. 66 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 p. 84 et 87 ; K. KÜMIN, Darf eine Aufenthaltsbewilligung widerrufen werden, nachdem von einer Landesverweisung abgesehen wurde ? , Jusletter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en particulier l'art. 8 CEDH).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 Conférence organisée par le Comité de la Société genevoise de droit et de législation, janvier 2017 ; G. MÜNCH / F. DE WECK, op. cit. , p. 166). Les antécédents judiciaires antérieurs au 1 er octobre 2016 sont aussi à prendre en considération, y compris les antécédents de droit pénal des mineurs.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w:t>
      </w:r>
    </w:p>
    <w:p>
      <w:r>
        <w:rPr>
          <w:b/>
        </w:rPr>
        <w:t>E. 2.2</w:t>
      </w:r>
    </w:p>
    <w:p>
      <w:r>
        <w:t>En l'espèce, dans la mesure où une partie des infractions à la LStup et à la LEtr est postérieure au 1 er octobre 2016, l'intimé peut faire l'objet d'une expulsion facultative au sens de l'art. 66 a bis CP. Les deux conditions cumulatives de l'expulsion sont réalisées, en l'occurrence la commission de délits et le prononcé d'une peine. Seule la pesée des intérêts en présence doit donc encore être effectuée pour décider de l'application de l'art. 66 a bis CP au cas d'espèce. S'agissant de son intérêt privé, il est inexistant, l'intimé n'ayant pas de liens avec la Suisse. Il n'a pas non plus rendu vraisemblable que son retour en Algérie pourrait lui porter préjudice. Force est de constater que ses chances d'intégration restent faibles, malgré sa maîtrise du français et son expérience de chauffeur sur machines, notamment en raison de son statut juridique au regard du droit des étrangers. Sous l'angle de l'intérêt public, le premier juge a qualifié de non négligeable sa faute, qu'il convenait de ne pas sous-estimer. Si les agissements de l'intimé ont porté sur un trafic de drogue dite "douce" , organisé semble-t-il de manière autonome, il a néanmoins porté sur plus de 5 kg de haschich et de marijuana, sur la longue période de neuf mois et demi, dont cinq mois et demi après le 1 er octobre 2016, à la manière d'une profession dont l'appelant retirait son unique revenu, visant à garantir sa propre consommation et à couvrir ses besoins vitaux. Ce trafic n'a pris fin que grâce à son interpellation. Dans ces conditions, l'éventuelle continuation du séjour de l'intimé en Suisse est de nature à perturber l'intérêt public de sorte qu'il se justifie de prononcer son expulsion pour une durée de cinq ans. Le jugement de première instance sera dès lors modifié sur ce point.</w:t>
      </w:r>
    </w:p>
    <w:p>
      <w:r>
        <w:rPr>
          <w:b/>
        </w:rPr>
        <w:t>E. 4</w:t>
      </w:r>
    </w:p>
    <w:p>
      <w:r>
        <w:t>L'appel du Ministère public est admis. L'intimé succombe et supportera par conséquent les frais de la procédure d'appel, comprenant un émolument de décision de CHF 1'200.- (art. 428 al. 1 CPP).</w:t>
      </w:r>
    </w:p>
    <w:p>
      <w:r>
        <w:rPr>
          <w:b/>
        </w:rPr>
        <w:t>E. 5</w:t>
      </w:r>
    </w:p>
    <w:p>
      <w:r>
        <w:t>5.1. Les frais imputables à la défense d'office sont des débours (art. 422 al. 2 let. a CPP) qui constituent des frais de procédure (art. 422 al. 1 CPP). 5.2.1. Selon l'art. 135 al. 1 CPP, le défenseur d'office est indemnisé conformément au tarif des avocats du canton du for du procès. Selon l'art. 16 let. c du règlement sur l'assistance juridique du 28 juillet 2010 (RAJ ; E 2 05.04), l'indemnité, en matière pénale, est calculée, pour un chef d'étude, selon le tarif horaire de CHF 200.-, l'équivalent de la TVA étant versé en sus. L'art 16. al. 2 RAJ dispose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5.3</w:t>
      </w:r>
    </w:p>
    <w:p>
      <w:r>
        <w:t>En l'occurrence, considéré dans sa globalité, l'état de frais produit par le défenseur d'office de A______ paraît adéquat et conforme aux principes qui précèdent, de sorte qu'il n'est pas nécessaire d'en reprendre le détail. Aussi, l'indemnité requise de CHF 725.75, correspondant à 2h48 heures d'activité au tarif de CHF 200.-/heure (CHF 560.-), plus la majoration forfaitaire de 20% et l'équivalent de la TVA au taux de 8% en CHF 53.75,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