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P/7438/2015 vom 27. Juli 2015</w:t>
      </w:r>
    </w:p>
    <w:p>
      <w:r>
        <w:t>GE Cour de justice, 2015-07-27, FR</w:t>
      </w:r>
    </w:p>
    <w:p>
      <w:r>
        <w:rPr>
          <w:b/>
        </w:rPr>
        <w:t xml:space="preserve">Quelle: </w:t>
      </w:r>
      <w:r>
        <w:t>https://mcp.opencaselaw.ch/entscheid/ge_gerichte_P_7438_2015</w:t>
      </w:r>
    </w:p>
    <w:p>
      <w:r>
        <w:t>FR: GE_GERICHTE P/7438/2015 du 27 juillet 2015</w:t>
      </w:r>
    </w:p>
    <w:p>
      <w:r>
        <w:t>IT: GE_GERICHTE P/7438/2015 del 27 luglio 2015</w:t>
      </w:r>
    </w:p>
    <w:p>
      <w:pPr>
        <w:pStyle w:val="Heading2"/>
      </w:pPr>
      <w:r>
        <w:t>Regeste</w:t>
      </w:r>
    </w:p>
    <w:p>
      <w:r>
        <w:t>RÉVISION(DÉCISION); COMPOSITION DE L'AUTORITÉ | CPP.57; CPP.60.1; CPP.437.1.a; CPP.410.1; Cst.30.1; CEDH.6.1</w:t>
      </w:r>
    </w:p>
    <w:p>
      <w:pPr>
        <w:pStyle w:val="Heading2"/>
      </w:pPr>
      <w:r>
        <w:t>Erwägungen</w:t>
      </w:r>
    </w:p>
    <w:p>
      <w:r>
        <w:rPr>
          <w:b/>
        </w:rPr>
        <w:t>E. 1</w:t>
      </w:r>
    </w:p>
    <w:p>
      <w:r>
        <w:t>er janvier 2011 (art. 21 al. 1 let. b du Code de procédure pénale suisse du 5 octobre 2007 [CPP ; RS 312.0] cum art. 130 al. 1 let. a de la LOJ. En l'espèce, les demandes de révision ont été formées par-devant l’autorité compétente et selon la forme prévue par la loi (art. 411 al. 1 CPP). 1.1.2. En vertu de l'art. 57 CPP, lorsqu'une personne qui exerce une fonction au sein d'une autorité pénale a un motif de se récuser, elle doit le déclarer en temps utile à la direction de la procédure. Selon l'art. 60 al. 1 CPP, les actes de procédure auxquels a participé une personne tenue de se récuser sont annulés et répétés si une partie le demande au plus tard cinq jours après qu'elle a eu connaissance du motif de récusation. L'al. 3 de cette disposition précise que si un motif de récusation n'est découvert qu'après la clôture de la procédure, les dispositions sur la révision sont applicables.</w:t>
      </w:r>
    </w:p>
    <w:p>
      <w:r>
        <w:rPr>
          <w:b/>
        </w:rPr>
        <w:t>E. 1.2</w:t>
      </w:r>
    </w:p>
    <w:p>
      <w:r>
        <w:t>La question de savoir si la voie de la révision est ouverte dans un tel cas même lorsque le jugement contesté n'est pas entré en force au sens des art. 410 al. 1 et 437 al. 1 let. a CPP peut rester indécise en l'espèce, dès lors qu'il convient, par souci d'économie de procédure, d'entrer en matière et d'admettre les demandes pour les motifs qui suivent.</w:t>
      </w:r>
    </w:p>
    <w:p>
      <w:r>
        <w:rPr>
          <w:b/>
        </w:rPr>
        <w:t>E. 2</w:t>
      </w:r>
    </w:p>
    <w:p>
      <w:r>
        <w:t>2.1.1. A teneur de l'art. 30 al. 1 de la Constitution fédérale de la Confédération suisse du 18 avril 1999 (Cst. ; RS 101) - qui de ce point de vue a la même portée que l'art. 6 § 1 de la Convention de sauvegarde des droits de l’homme et des libertés fondamentales du 4 novembre 1950 (CEDH ; RS 0.101) -, toute personne dont la cause doit être jugée dans une procédure judiciaire a droit à ce que sa cause soit portée devant un tribunal établi par la loi, compétent, indépendant et impartial. Cette norme impose aux autorités judiciaires de statuer dans une composition régulière (ATF 140 II 141 consid. 1.1 ; 129 V 335 consid. 1.1.3 ; arrêt du Tribunal fédéral des assurances I 688/2003 du 15 mars 2004 consid. 2, publié in RDAF 2005 I p. 62). La composition irrégulière d'une autorité constitue un vice fondamental, qui ne peut être réparé ; seul un nouveau jugement, rendu par un tribunal établi conformément à la loi, est susceptible de rétablir une situation conforme au droit (arrêts du Tribunal fédéral 6B_225/2015 du 30 juin 2015 consid. 1.2, 9C_185/2009 du 19 août 2009 consid. 2.1.2). Pour des raisons de sécurité du droit, il s'agit toutefois d'une cause d'annulabilité - et non de nullité - du jugement rendu (ATF 140 II 141 précité, consid. 1.2 ; 136 I 207 consid. 5.6 précité ; arrêt du Tribunal fédéral 8C_829/2012 du 4 juin 2013 consid. 4). 2.1.2. Selon l'art. 129 al. 2 LOJ, la CPAR s'adjoint quatre juges assesseurs lorsqu'elle statue en appel des jugements du Tribunal criminel ; ces derniers sont des magistrats (art. 5 al. 2 et al. 3, art. 117 al. 6 LOJ) qui, pour exercer leurs fonctions, doivent remplir les conditions de l'art. 10 al. 2 let. b LOJ (applicable par le renvoi de l'art. 5 al. 4 LOJ), norme qui fixe à 72 ans la limite d'âge pour exercer la charge d'assesseur (plus précisément, à la fin du mois au cours duquel ils atteignent cet âge). Le droit à un tribunal établi par la loi est violé lorsqu'un juge participe à une décision alors que sa nomination n'est pas valable faute d'une condition d'éligibilité (ATF 136 I 207 consid. 5.6 = JdT 2011 II 435 ; arrêt du Tribunal fédéral 6B_225/2015 du 30 juin 2015 consid. 1.3). En l'occurrence, il est établi que lorsqu'elle a statué sur les appels formés par les requérants, la CPAR était composée d'une juge qui ne remplissait pas les conditions légales d'éligibilité. Il convient en conséquence d'admettre les demandes, d'annuler l'arrêt entrepris et de renvoyer la cause à l'autorité précitée, afin qu'elle procède à de nouveaux débats et rende une nouvelle décision. En revanche, le vice invoqué n'affecte pas la validité des ordonnances présidentielles rendues, soit en particulier de l' OARP/87/2014 du 31 mars 2014 destinée à fixer les débats et rejetant notamment les réquisitions de preuves présentées à l'époque par A______. Il en va de même du procès-verbal d'audience recueillant les propos tenus par les parties et le témoin.</w:t>
      </w:r>
    </w:p>
    <w:p>
      <w:r>
        <w:rPr>
          <w:b/>
        </w:rPr>
        <w:t>E. 3</w:t>
      </w:r>
    </w:p>
    <w:p>
      <w:r>
        <w:t>Les demandes étant admises, il ne sera pas perçu de frais (art. 428 CPP a contrario ).</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4.1.2.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à la procédure ne doit être pris en considération que dans la mesure où il apparaît raisonnablement nécessaire à l'accomplissement du mandat par un avocat expérimenté, les activités consistant en un soutien moral n'étant pas rétribuées, et que seules sont prises en considération les opérations directement liées à la procédure pénale, l'avocat devant ainsi veiller au respect du principe de proportionnalité et être expéditif et efficace dans son travail (décisions de la Cour des plaintes du Tribunal pénal fédéral BB.2015.8 du 21 juillet 2015 consid. 5.3 et 7.2, BB.2013.176 du 25 avril 2014 et les références citées). 4.2.1. En l'espèce, la note d'honoraires présentée par M e D______ comporte six heures d'activité, dont quatre heures et demie consacrées à trois conférences avec le client à la prison de Champ-Dollon, toutes postérieures à la rédaction de la demande de révision. Or, une seule d'entre elles apparaît pouvoir raisonnablement être justifiée par la nécessité d'informer le client de l'évolution de la procédure, étant également rappelé qu'il n'y a en règle générale pas lieu d'indemniser plus d'une visite par mois au cours de la procédure préliminaire et de la procédure de première instance et/ou d'appel. Ainsi, l'activité déployée sera admise à hauteur de trois heures à CHF 200.-, soit CHF 600.-, auquel s'ajoutent l'indemnisation forfaitaire de 20% (CHF 120.-) s'agissant d'une procédure indépendante de celle portant sur le fond, et la TVA à 8% (CHF 57.60), ce qui correspond à un total de CHF 777.60, arrondi à CHF 780.-. 4.2.2. Bien que le défenseur d'office de A______ n'ait pas produit sa note d'honoraires, il convient de lui octroyer une indemnité équivalente pour la procédure en révision, cela par identité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