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P/7419/2019 vom 6. November 2019</w:t>
      </w:r>
    </w:p>
    <w:p>
      <w:r>
        <w:t>GE Cour de justice, 2019-11-06, FR</w:t>
      </w:r>
    </w:p>
    <w:p>
      <w:r>
        <w:rPr>
          <w:b/>
        </w:rPr>
        <w:t xml:space="preserve">Quelle: </w:t>
      </w:r>
      <w:r>
        <w:t>https://mcp.opencaselaw.ch/entscheid/ge_gerichte_P_7419_2019</w:t>
      </w:r>
    </w:p>
    <w:p>
      <w:r>
        <w:t>FR: GE_GERICHTE P/7419/2019 du 6 novembre 2019</w:t>
      </w:r>
    </w:p>
    <w:p>
      <w:r>
        <w:t>IT: GE_GERICHTE P/7419/2019 del 6 novembre 2019</w:t>
      </w:r>
    </w:p>
    <w:p>
      <w:pPr>
        <w:pStyle w:val="Heading2"/>
      </w:pPr>
      <w:r>
        <w:t>Regeste</w:t>
      </w:r>
    </w:p>
    <w:p>
      <w:r>
        <w:t>DÉTENTION PROVISOIRE;SOUPÇON;RISQUE DE COLLUSION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soupçons d'infraction à la LStup et estime que la légitime défense (art. 15 CP), voire une défense excusable (art. 16 CP), doit être retenue s'agissant des soupçons de meurtre.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Selon le Tribunal fédéral, il n'appartient pas au juge de la détention d'examiner si les coups de couteau donnés par le prévenu à son agresseur résultent de la légitime défense ou d'un état d'excitation ou de saisissement excusable, questions qui seront tranchées par le juge du fond (arrêts du Tribunal fédéral 1B_231/2019 du 4 juin 2019 consid. 3 et 1B_49/2014 du 19 février 2014 consid. 2.2). Tout au plus, la jurisprudence réserve-t-elle le cas dans lequel il ressort de manière hautement vraisemblable du dossier qu'un fait justificatif est réalisé (arrêt du Tribunal fédéral 1B_180/2014 du 10 juin 2014 consid. 3.3 et les arrêts cités).</w:t>
      </w:r>
    </w:p>
    <w:p>
      <w:r>
        <w:rPr>
          <w:b/>
        </w:rPr>
        <w:t>E. 2.3</w:t>
      </w:r>
    </w:p>
    <w:p>
      <w:r>
        <w:t>En l'espèce, il est constant - et non contesté - que le recourant a donné des coups de couteau à D______, lequel est mort des suites des lésions causées. Dans son refus de mise en liberté, le Ministère public n'a pas retenu que la légitime défense était établie. Il a exposé la version du recourant, qui plaide l'existence d'un fait justificatif, et précisé que s'il fallait suivre cette version, alors se posait la question d'un éventuel excès de légitime défense. En l'état du dossier, il ne peut être retenu de manière hautement vraisemblable qu'un fait justificatif - légitime défense ou défense excusable - est réalisé. Le recourant se fonde, pour conforter sa propre version, sur les déclarations de personnes - F______, P______ et O______ - dont il réfute pourtant les dires en relation avec son rôle tenu dans la transaction de cocaïne qui lui est reprochée. Les deux derniers, apparemment toujours en fuite, n'ont pas été entendus par le Ministère public, ni confrontés au recourant. Par ailleurs, le recourant a pu aisément se concerter avec F______, juste après les faits, lorsqu'ils étaient seuls dans l'appartement. En l'absence d'audition du médecin légiste, on ne saurait en l'état affirmer que les coups reçus par la victime sont compatibles avec la version donnée par le prévenu. Les précédentes autorités ont également estimé à raison que la question de l'excès de légitime défense se posait, dans la mesure où le recourant allègue que (seul) le bras armé de l'assaillant dépassait de la porte, de sorte qu'il appartiendra au juge du fond de déterminer si une autre réaction aurait été plus proportionnée, par exemple sur le bras de la victime plutôt que, à l'aveugle, à hauteur de son abdomen. Dans ce contexte, la présence, à côté de la porte d'entrée de son appartement, d'un ou deux couteaux, d'une matraque et d'une batte de baseball destinés à assurer sa défense, laisse supposer, comme l'a relevé le TMC, que le recourant était préparé à se battre, de sorte que la question de l'excès de la légitime défense est pertinente. En outre, le dossier contient suffisamment d'éléments pour fonder une prévention d'infraction à la LStup. Les dénégations du témoin G______ sur les "règles" au sein des " M______ " ne paraissent pas suffisantes. Les déclarations de F______ sont plausibles et corroborées par N______. À ce stade, le fait que le vendeur (D______), son acolyte (P______) et les intermédiaires (O______ et N______) n'aient jamais eu de contact avec le présumé acheteur, en l'occurrence A______, importe peu, puisque ce dernier aurait pu ne pas vouloir apparaître et n'intervenir que par l'entremise de F______. Le type de stupéfiant est connu (cocaïne), ainsi que la quantité (1 kilogramme environ) et le prix de vente (entre EUR 60'000.- et EUR 70'000.-). En l'état, la pureté de la drogue importe peu, de même que son éventuel futur conditionnement. Que le sac livré ait finalement contenu du sucre plutôt que de la cocaïne ne joue pas de rôle non plus, en l'état, sur les soupçons que le prévenu avait l'intention, le 31 mars 2019, de se faire livrer un kilogramme de cocaïne, livraison qui a, selon les éléments au dossier, concrètement eu lieu dans son appartement. Il appartiendra au juge du fond de tenir compte, le cas échéant, que le sac qui devait contenir la cocaïne ne contenait en réalité qu'un substitut. Le recourant soulève en vain, à ce stade, qu'il n'avait pas les moyens de régler la somme alléguée pour la transaction. En l'état, seuls de forts soupçons suffisent. Or, le recourant détenait une somme d'argent en liquide dans son appartement - EUR 15'000.- selon ses dires - bien supérieure à son train de vie allégué, puisqu'il serait sans revenus et aurait des dettes de l'ordre de CHF 40'000.-, selon son père. Son ami G______ trace pourtant de lui un tout autre portrait, financièrement plus favorable. Cela étant, même à considérer qu'il ne disposait le jour des faits que de EUR 15'000.- dans son appartement, cette somme aurait pu constituer un acompte sur la transaction. On relèvera que, disposant déjà d'une moto J______ à son domicile français, l'achat d'un nouvel engin ne paraissait pas urgent. Il s'ensuit que c'est à bon droit que le TMC a retenu l'existence de charges suffisantes de meurtre et d'infraction à la LStup. Le Ministère public annonce procéder à un nouvel examen du dossier pour déterminer si de nouveaux actes d'instruction sont nécessaires. En l'état, la Chambre de céans considère que, à tout le moins, l'audition du médecin légiste s'avère indispensable, voire, au préalable, une reconstitution des faits. En outre, si le Ministère public entend renvoyer le recourant en jugement pour la transaction de cocaïne pour laquelle il l'a entendu en qualité de prévenu le 8 octobre 2019, l'instruction devra se poursuivre. À cet égard, l'analyse de ses communications avec F______, au regard de celles que celui-ci a eues avec son correspondant, N______, pourrait s'avérer utile.</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risque de collusion est concret et très élevé. Immédiatement après avoir porté les coups de couteau à D______, le recourant a appelé plusieurs personnes, qui l'auraient rejoint dans son appartement. Ses amis motards ont ensuite été vus en train de nettoyer les traces de sang laissées par la victime dans la cage d'escalier. Le sang présent à l'entrée de son appartement paraît également avoir été nettoyé, selon les analyses effectuées par la police au R______ [luminol]. Son père a lavé la lame du couteau avec lequel il a frappé la victime. Contrairement à ce qu'il a affirmé à la police, le recourant ne s'est nullement barricadé dans son appartement, mais est sorti au bas de son immeuble, non loin de l'endroit où gisait le corps de D______, de sorte qu'il a vraisemblablement appris dès cet instant que la personne à qui il avait porté les coups de couteau était morte. Ses amis ont déplacé, voire caché, sa J______ et, semble-t-il, sa voiture. Après être allé se réfugier chez son père pour éviter une arrestation en France, il a demandé à son ex-compagne de récupérer l'argent dans son appartement. Il s'ensuit que le risque est très concret que le recourant ne mette à profit sa mise en liberté pour intercéder auprès des témoins - directement ou par l'intermédiaire de ses amis, qui sont déjà intervenus immédiatement après les faits - pour influencer leurs déclarations, voire les intimider. Que P______ et O______ soient en fuite n'empêche pas que le recourant parvienne, par l'intermédiaire de ses contacts, à entrer en communication avec eux. Ce risque est patent avec F______ et N______. Même si ces derniers ont déjà été entendus et confrontés au prévenu, la recherche de la vérité commande qu'ils puissent s'exprimer librement dans la suite de la procédure, ce d'autant qu'ils ont déjà varié dans leurs déclarations.</w:t>
      </w:r>
    </w:p>
    <w:p>
      <w:r>
        <w:rPr>
          <w:b/>
        </w:rPr>
        <w:t>E. 4</w:t>
      </w:r>
    </w:p>
    <w:p>
      <w:r>
        <w:t>Au vu de ce qui précède, point n'est besoin d'examiner si les risques de fuite et réitération, également retenus par le TMC, sont en l'espèce réalisés.</w:t>
      </w:r>
    </w:p>
    <w:p>
      <w:r>
        <w:rPr>
          <w:b/>
        </w:rPr>
        <w:t>E. 5</w:t>
      </w:r>
    </w:p>
    <w:p>
      <w:r>
        <w:t>Les mesures de substitution proposées par le recourant ne sont pas de nature à pallier le risque de collusion. En particulier, l'assignation à résidence à Genève ne l'empêcherait pas d'entrer en contact avec les protagonistes et témoins, comme relevé ci-dessus. L'interdiction de contact est insuffisante, le recourant ayant déjà concrètement fait disparaître des éléments de preuve.</w:t>
      </w:r>
    </w:p>
    <w:p>
      <w:r>
        <w:rPr>
          <w:b/>
        </w:rPr>
        <w:t>E. 6</w:t>
      </w:r>
    </w:p>
    <w:p>
      <w:r>
        <w:t>Le recourant est détenu depuis le 7 avril 2019. La détention provisoire ordonnée jusqu'au 30 décembre 2019 ne viole pas le principe de la proportionnalité (art. 197 al. 1 et 212 al. 3 CPP), compte tenu des infractions retenues en l'état, même si l'on devait tenir compte de la légitime défense alléguée.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Il n'a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