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P/7362/2023 vom 20. November 2023</w:t>
      </w:r>
    </w:p>
    <w:p>
      <w:r>
        <w:t>GE Cour de justice, 2023-11-20, FR</w:t>
      </w:r>
    </w:p>
    <w:p>
      <w:r>
        <w:rPr>
          <w:b/>
        </w:rPr>
        <w:t xml:space="preserve">Quelle: </w:t>
      </w:r>
      <w:r>
        <w:t>https://mcp.opencaselaw.ch/entscheid/ge_gerichte_P_7362_2023</w:t>
      </w:r>
    </w:p>
    <w:p>
      <w:r>
        <w:t>FR: GE_GERICHTE P/7362/2023 du 20 novembre 2023</w:t>
      </w:r>
    </w:p>
    <w:p>
      <w:r>
        <w:t>IT: GE_GERICHTE P/7362/2023 del 20 novembre 2023</w:t>
      </w:r>
    </w:p>
    <w:p>
      <w:pPr>
        <w:pStyle w:val="Heading2"/>
      </w:pPr>
      <w:r>
        <w:t>Regeste</w:t>
      </w:r>
    </w:p>
    <w:p>
      <w:r>
        <w:t>EXPULSION(DROIT PÉNAL);RÈGLEMENT (UE) 2018/1861 | LStup.19; LStup.19; LStup.19; LStup.19a; LEI.116; CP.66a</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Selon l'art. 66a al. 1 let. o CP, le juge expulse un étranger du territoire suisse pour une durée de cinq à quinze ans s'il est reconnu coupable d'infraction à l'art. 19 al. 2 LStup.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(al. 2). 2.1.2. Afin de pouvoir renoncer à une expulsion prévue par l'art. 66a al. 1 CP, il faut que cette mesure mette l'étranger dans une situation personnelle grave et que l'intérêt public soit de peu d'importance, c'est-à-dire que les intérêts publics à l'expulsion ne l'emportent pas sur l'intérêt privé de l'étranger à demeurer en Suisse. Le juge doit renoncer à l'expulsion lorsque les conditions de l'art. 66a al. 2 CP sont réunies, conformément au principe de proportionnalité (ATF 146 IV 105 consid. 3.4.2 ; 144 IV 332 consid. 3.3). 2.1.3. Pour définir la première condition cumulative, à savoir la " situation personnelle grave ", il convient de s'inspirer, de manière générale, des critères prévus par l'art. 31 al. 1 de l'ordonnance relative à l'admission, au séjour et à l'exercice d'une activité lucrative (OASA) et de la jurisprudence y relative. L'art. 31 al. 1 OASA prévoit qu'une autorisation de séjour peut être octroyée dans les cas individuels d'extrême gravité. Elle commande de tenir compte notamment de l'intégration du requérant selon les critères définis à l'art. 58a al. 1 LEI,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tout comme le risque de récidive ou une délinquance récurrente (ATF 146 IV 105 consid. 3.4.1 ; 144 IV 332 consid. 3.3.1 et 3.3.2 ; arrêt du Tribunal fédéral 6B_45/2020 du 14 mars 2022 consid. 3.3.2). 2.1.4.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6B_364/2022 du 8 juin 2022 consid. 5.1).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(arrêt du Tribunal fédéral 6B_364/2022 du 8 juin 2022 consid. 5.1 ; cf. ATF 134 II 10 consid. 4.3).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Les relations familiales visées par l'art. 8 § 1 CEDH sont avant tout celles qui concernent la famille dite nucléaire, soit celles qui existent entre époux ainsi qu'entre parents et enfants mineurs vivant en ménage commun (arrêt du Tribunal fédéral 6B_364/2022 du 8 juin 2022 consid. 5.1). 2.2.1. L'inscription de l'expulsion dans le SIS est régie par règlement (UE) 2018/1861 sur l'établissement, le fonctionnement et l'utilisation du SIS dans le domaine des vérifications aux frontières, modifiant la convention d'application de l'accord de Schengen, entré en vigueur pour la Suisse le 11 mai 2021 (arrêts du Tribunal fédéral 6B_403/2022 du 31 août 2022 consid. 3.1 ; 6B_628/2021 du 14 juillet 2022 consid. 2.2.1 et 6B_834/2021 du 5 mai 2022 consid. 2.2.1). L'art. 21 ch. 1 de ce règlement prescrit qu’avant d'introduire un signalement, l'État membre vérifie si le cas est suffisamment approprié, pertinent et important pour justifier l'introduction du signalement dans le SIS. Le signalement dans le SIS suppose que la présence du ressortissant d'un pays tiers, sur le territoire d'un État membre, constitue une menace pour l'ordre public, la sécurité publique ou la sécurité nationale. L'art. 24 ch. 2 précise que tel est le cas lorsque l'intéressé a été condamné dans un État membre pour une infraction passible d'une peine privative de liberté d'au moins un an (let. a) ou qu'un ressortissant de pays tiers a contourné ou tenté de contourner le droit national ou de l'Union relatif à l'entrée et au séjour sur le territoire des États membres (let. c). La décision d'inscription doit être prise dans le respect du principe de proportionnalité (individuelle) (art. 21 du règlement et arrêt du Tribunal fédéral 6B_932/2021 du 7 septembre 2022 consid. 1.8.1). 2.2.2. La mention d'une peine privative de liberté d'au moins un an fait référence à la peine-menace de l'infraction en cause et non à la peine prononcée concrètement dans un cas d'espèce. À cela s'ajoute, sous la forme d'une condition cumulative, que la personne concernée doit représenter une menace pour la sécurité ou l'ordre publics. Il ne faut pas poser des exigences trop élevées en ce qui concerne l'hypothèse d'une " menace pour l'ordre public et la sécurité publique ". En particulier, il n'est pas nécessaire que l'intéressé constitue une menace concrète, actuelle et suffisamment grave affectant un intérêt fondamental de la société. Il suffit que la personne concernée ait été condamnée pour une ou plusieurs infractions qui menacent l'ordre public et la sécurité publique et qui, prises individuellement ou ensemble, présentent une certaine gravité. Ce n'est pas la quotité de la peine qui est décisive mais la nature et la fréquence des infractions, les circonstances concrètes de celles-ci ainsi que l'ensemble du comportement de la personne concernée. Par conséquent, une simple peine prononcée avec sursis ne s'oppose pas au signalement dans le SIS. Si une expulsion est déjà ordonnée sur la base des conditions précitées, son signalement dans le SIS est en principe proportionné et doit par conséquent être effectué. Les autres États Schengen restent néanmoins libres d'autoriser l'entrée sur leur territoire au cas par cas pour des raisons humanitaires ou d'intérêt national ou en raison d'obligations internationales (ATF 147 IV 340 consid. 4.6 et 4.8 ; cf. arrêts du Tribunal fédéral 6B_932/2021 du 7 septembre 2022 consid. 1.8.1 à 1.8.3 ; 6B_403/2022 du 31 août 2022 consid. 3.2 ; 6B_628/2021 du 14 juillet 2022 consid. 2.2.2 à 2.2.3 et 6B_834/2021 du 5 mai 2022 consid. 2.2.2 à 2.2.3). L'inscription au SIS n'empêche ainsi pas l'octroi d'une autorisation de séjour par un État membre, en application de la législation européenne. Un ressortissant d'un État tiers peut en effet obtenir un titre de séjour d'un État Schengen si celui-ci considère, après consultation entre États, que l'inscription ne fait pas obstacle à l'octroi d'une telle autorisation, par exemple au titre du regroupement familial. Il importe néanmoins de procéder à l'inscription pour informer les États membres de l'existence d'une condamnation (arrêts du Tribunal fédéral 6B_932/2021 du 7 septembre 2022 consid. 1.8.3 et 6B_834/2021 du 5 mai 2022 consid. 2.2.5).</w:t>
      </w:r>
    </w:p>
    <w:p>
      <w:r>
        <w:rPr>
          <w:b/>
        </w:rPr>
        <w:t>E. 2.3</w:t>
      </w:r>
    </w:p>
    <w:p>
      <w:r>
        <w:t>En l'espèce, l'infraction grave à la LStup commise par le prévenu relève de l'expulsion obligatoire au sens de l'art. 66a al. 1 let. o CP. Une éventuelle renonciation ne pourra intervenir qu'exceptionnellement, au cas où l'expulsion mettrait l'appelant dans une situation personnelle grave et où son intérêt à rester en Suisse serait supérieur à celui de la collectivité à le renvoyer dans son pays d'origine. L'appelant, originaire de Cuba, est arrivé en Suisse à l’âge de 31 ans, après avoir grandi dans son pays où il est né et a effectué toute sa scolarité. Il a ensuite séjourné en Suisse, au bénéfice d'un titre de séjour obtenu par regroupement familial (permis B), valable jusqu'en 2020. Lors de son interpellation, la demande de renouvellement était en cours. Avant sa mise en détention, l'appelant séjournait depuis quatre ans en Suisse. Il travaillait à mi-temps et son revenu était complété par l'aide sociale. Il ne ressort pas du dossier qu'il aurait tenté de trouver un emploi à plein temps, mais plutôt qu'il a quitté son travail à temps partiel, celui-ci n'étant, selon ses dires, pas à la hauteur de son éducation. Quatre ans après son arrivée, l'appelant ne maîtrise pas le français. Il ne démontre dès lors pas une forme d'intégration professionnelle poussée. À la lecture de la procédure, en dépit des années passées en Suisse, il ne semble pas avoir de liens sociaux dépassant ceux résultant d'une intégration ordinaire en Suisse comme l'exige la jurisprudence. Aucun élément du dossier ne tend à indiquer qu'il se serait construit un cercle d'amis proches ou aurait participé à une activité citoyenne, associative, sportive ou sociale. La présence en Suisse de sa fille, âgée maintenant de quatre ans et dont il ne détient pas la garde, ne suffit ni à admettre une intégration particulièrement réussie de l'appelant, ni à justifier l'application d'office de la clause de rigueur, et cela, même s'il entretenait des relations personnelles fortes et régulières avant son incarcération (tous les mercredis et un weekend sur deux), relations qui ont perduré pendant sa détention. La reprise des relations après sa sortie de prison semble conflictuelle avec la mère de l'enfant, ce qui a conduit les autorités de protection de l'adulte et de l'enfant à suspendre lesdites relations avant d'en ordonner la reprise. Le conflit éventuel entre les parents ne justifie pas non plus l'application d'office de la clause de rigueur, d'autant plus que les autorités compétentes ont ordonné la reprise des relations personnelles, décision de justice que la mère devra respecter. Le souhait de l'appelant de rester en Suisse et d'y mener une " vie normale " ne semble pas se traduire, à la lecture du dossier, par des actes concrets comme la recherche ou la prise d'un emploi à sa sortie de prison, une formation entamée, des cours de langue, etc. Les faits reprochés à l'appelant sont graves. Il s'est livré à un trafic de stupéfiants et a ainsi contribué à la propagation du fléau de la drogue au sein de la population. Au vu de sa faute, l'intérêt public à son expulsion est important. Vu les éléments évoqués ci-dessus, l'intérêt public apparaît supérieur à son intérêt à demeurer en Suisse. Il entretient des contacts réguliers avec sa famille à Cuba, qu'il dit prête à l'aider s'il devait à nouveau s'y établir, ce qui facilitera une réintégration dans son pays d'origine, quitté il y a un peu plus de cinq ans. Au vu de ce qui précède, l'expulsion de Suisse de l'appelant pour une durée de cinq ans, correspondant à la durée minimale de l'expulsion obligatoire, est proportionnée et doit être confirmée.</w:t>
      </w:r>
    </w:p>
    <w:p>
      <w:r>
        <w:rPr>
          <w:b/>
        </w:rPr>
        <w:t>E. 2.4</w:t>
      </w:r>
    </w:p>
    <w:p>
      <w:r>
        <w:t>L’inscription de l’expulsion de l'appelant au SIS sera également confirmée compte tenu de la gravité de l'infraction dont il a été reconnu coupable, passible d'une peine privative de liberté bien supérieure au seuil fixé pour considérer qu'un prévenu représente " une menace pour l'ordre public ou la sécurité publique ou nationale ", sans compter que l'appelant n'a aucune attache avec un des Etats de l'espace Schengen.</w:t>
      </w:r>
    </w:p>
    <w:p>
      <w:r>
        <w:rPr>
          <w:b/>
        </w:rPr>
        <w:t>E. 3</w:t>
      </w:r>
    </w:p>
    <w:p>
      <w:r>
        <w:t>L'appelant, qui succombe, supportera les frais de la procédure d'appel envers l'État (art. 428 al. 1 CPP), qui comportent un émolument de décision de CHF 1'500.-. Compte tenu de l'issue de l'appel, il n'y a pas lieu de revoir la répartition des frais de la procédure préliminaire et de première instance (art. 426 al. 1 CPP).</w:t>
      </w:r>
    </w:p>
    <w:p>
      <w:r>
        <w:rPr>
          <w:b/>
        </w:rPr>
        <w:t>E. 4</w:t>
      </w:r>
    </w:p>
    <w:p>
      <w:r>
        <w:t>L'état de frais produit par M e B______, défenseur d'office de l'appelant, satisfait les exigences légales et jurisprudentielles régissant l'assistance judiciaire gratuite en matière pénale, excepté le temps consacré aux conférences clients. Deux entretiens d'une heure chacun avec son client étaient suffisants – et seront retenus – pour décider de l'appel et préparer les arguments à l'appui du mémoire d'appel. La rémunération de M e B______ sera partant arrêtée à CHF 2'053.50 correspondant à huit heures et 40 minutes d'activité au tarif de CHF 200.-/heure (CHF 1'733.35), plus la majoration forfaitaire de 10% (CHF 173.35), ainsi que la TVA au taux de 7.7% (CHF 146.80).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