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P/7359/2021 vom 24. Mai 2023</w:t>
      </w:r>
    </w:p>
    <w:p>
      <w:r>
        <w:t>GE Cour de justice, 2023-05-24, FR</w:t>
      </w:r>
    </w:p>
    <w:p>
      <w:r>
        <w:rPr>
          <w:b/>
        </w:rPr>
        <w:t xml:space="preserve">Quelle: </w:t>
      </w:r>
      <w:r>
        <w:t>https://mcp.opencaselaw.ch/entscheid/ge_gerichte_P_7359_2021</w:t>
      </w:r>
    </w:p>
    <w:p>
      <w:r>
        <w:t>FR: GE_GERICHTE P/7359/2021 du 24 mai 2023</w:t>
      </w:r>
    </w:p>
    <w:p>
      <w:r>
        <w:t>IT: GE_GERICHTE P/7359/2021 del 24 maggio 2023</w:t>
      </w:r>
    </w:p>
    <w:p>
      <w:pPr>
        <w:pStyle w:val="Heading2"/>
      </w:pPr>
      <w:r>
        <w:t>Regeste</w:t>
      </w:r>
    </w:p>
    <w:p>
      <w:r>
        <w:t>NOTIFICATION PAR VOIE OFFICIELLE;RETRAIT DE PERMIS | LCR.95; LPA-GE.46.al4; CP.49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MP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MP. En d'autres termes, l'acte d'accusation doit contenir les faits qui, de l'avis du MP, correspondent à tous les éléments constitutifs de l'infraction reprochée au prévenu (ATF 143 IV 63 consid. 2.2 p. 65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La description des faits reprochés dans l'acte d'accusation doit être la plus brève possible (art. 325 al. 1 let. f CPP). Le principe de l'accusation n’empêche pas l'autorité de jugement, au besoin, de constater des faits permettant de réfuter les contestations et allégations du prévenu, qu'il n'incombe pas au MP de décrire par le menu dans l'acte d'accusation (arrêts du Tribunal fédéral 6B_1023/2017 du 25 avril 2018 consid. 1.1, non publié in ATF 144 IV 189 ; 6B_1185/2018 du 14 janvier 2019, consid. 2.1 et les références).</w:t>
      </w:r>
    </w:p>
    <w:p>
      <w:r>
        <w:rPr>
          <w:b/>
        </w:rPr>
        <w:t>E. 2.2</w:t>
      </w:r>
    </w:p>
    <w:p>
      <w:r>
        <w:t>En l’espèce, l’acte d’accusation reproche à l’appelant d’avoir circulé au volant de divers véhicules automobiles alors qu’il faisait l’objet d’une interdiction de circuler depuis 2016, alors qu’en réalité, dite interdiction a été prononcée en 2020. Cette différence de date ne modifie toutefois pas la nature des faits reprochés, une telle précision n’étant pas indispensable à la description de l’infraction. Il est certes regrettable que les décisions administratives prononcées à l’encontre de l’appelant n’aient été versées au dossier pénal qu’au stade de l’appel ; cette situation ne change toutefois pas la situation juridique de l’appelant et ne le prive pas des moyens utiles à sa défense. En particulier, si l’appelant allègue avoir demandé des précisions à l’OCV avant de recevoir copie de son dossier administratif transmis par la CPAR, il n’a jamais produit la moindre pièce à ce sujet. En tout état de cause, il a eu accès au dossier de la cause, qui comportait des extraits du registre FABER et qui lui a donc permis de prendre connaissance d’un résumé des mesures administratives prononcées à son égard, quand bien même ce résumé était entaché d’une erreur. Il n’a en particulier jamais prétendu – à raison – avoir été titulaire d’un permis de conduire suisse ou avoir formé un recours contre une décision qui lui avait été notifiée. L’appelant a ainsi été en mesure de prendre connaissance des faits qui lui étaient reprochés et de se déterminer à leur sujet.</w:t>
      </w:r>
    </w:p>
    <w:p>
      <w:r>
        <w:rPr>
          <w:b/>
        </w:rPr>
        <w:t>E. 3</w:t>
      </w:r>
    </w:p>
    <w:p>
      <w:r>
        <w:t>3.1. À teneur de l'art. 95 ch.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Le retrait du permis de conduire prend la forme d'une décision, à teneur de laquelle l'autorité retire une autorisation de conduire précédemment octroyée. Selon l'art. 23 ch. 1 LCR, le retrait d'un permis de conduire doit être notifié par écrit, avec indication des motifs. Cette notification a pour but de permettre à l'intéressé de faire recours contre la décision (arrêt du Tribunal fédéral 6B_81/2014 du 18 mars 2014 consid. 1.1). Les éléments constitutifs objectifs de l'art. 95 ch. 1 let. b LCR sont ainsi réunis lorsqu'une décision a été valablement rendue, qu'elle est exécutoire et qu'elle n'a pas été respectée (arrêt du Tribunal fédéral 6B_81/2014 précité).</w:t>
      </w:r>
    </w:p>
    <w:p>
      <w:r>
        <w:rPr>
          <w:b/>
        </w:rPr>
        <w:t>E. 3.2</w:t>
      </w:r>
    </w:p>
    <w:p>
      <w:r>
        <w:t>Selon l'art. 1 LCR, cette loi régit la circulation sur la voie publique. Les conducteurs de véhicules automobiles et les cyclistes sont soumis aux règles de la circulation sur toutes les routes servant à la circulation publique. L'art. 1 al. 2 de l'ordonnance sur les règles de la circulation routière (OCR) précise que sont publiques les routes qui ne servent pas exclusivement à l'usage privé. Une conception large de la notion de route publique doit être retenue. Ainsi, les places, les ponts, les tunnels, etc. sont à considérer comme routes au sens de la LCR. Le facteur déterminant n'est pas de savoir si la surface de la route est en propriété privée ou publique, mais si elle est utilisée pour la circulation générale et si son usage est possible pour un groupe indéterminé de personnes, même si son utilisation est limitée. Pour déterminer si une voie doit être qualifiée de publique au sens de la LCR et par conséquent si cette loi y trouve application, il convient de tenir compte de son utilisation effective, et non de la volonté du propriétaire. La voie est publique dès qu'elle peut être parcourue par un cercle indéterminé de personnes, cela même si son utilisation est réservée à certains buts déterminés puisque, même dans un tel cas, le cercle d'usagers reste indéterminé. Doit ainsi être qualifié de voie publique le parking d'un immeuble comprenant des places pour visiteurs, dès lors que celui-ci est accessible à un nombre indéterminé de personnes, de même qu'une route qui, par sa situation, ne serait fréquentée que par des chasseurs, des promeneurs, des employés communaux ou des propriétaires privés, ceux-ci constituant également un cercle indéterminé de personnes.</w:t>
      </w:r>
    </w:p>
    <w:p>
      <w:r>
        <w:rPr>
          <w:b/>
        </w:rPr>
        <w:t>E. 3.3</w:t>
      </w:r>
    </w:p>
    <w:p>
      <w:r>
        <w:t>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 127 IV 115 consid. 2 p. 118 ; 124 IV 127 consid. 3a p. 129 et les références citées). Le comportement incriminé à l'art. 286 CP suppose une résistance qui implique une certaine activité (ATF 133 IV 97 consid. 4.2 p. 100 ; 127 IV 115 consid. 2 p. 117 et les références citées) qui est réalisée, par exemple, par le fait de prendre la fuite (ATF 120 IV 136 consid. 2a p. 140 et les références citées). L'infraction réprimée à l'art. 286 CP requiert l'intention ; le dol éventuel suffit.</w:t>
      </w:r>
    </w:p>
    <w:p>
      <w:r>
        <w:rPr>
          <w:b/>
        </w:rPr>
        <w:t>E. 3.4</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p. 240).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arrêts du Tribunal fédéral 6B_220/2015 du 10 février 2016 consid. 3.4.1 et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w:t>
      </w:r>
    </w:p>
    <w:p>
      <w:r>
        <w:rPr>
          <w:b/>
        </w:rPr>
        <w:t>E. 3.5</w:t>
      </w:r>
    </w:p>
    <w:p>
      <w:r>
        <w:t>En l’espèce, l’appelant se prévaut d’une erreur sur les faits au motif qu’il ignorait, selon ses dires, faire l’objet d’une interdiction de circuler, la police lui ayant restitué son permis de conduire libanais (après, selon ses dires, une saisie de dix jours dont il n’y a aucune trace au dossier, sinon en 2016 selon les explications de l’OCV).</w:t>
      </w:r>
    </w:p>
    <w:p>
      <w:r>
        <w:rPr>
          <w:b/>
        </w:rPr>
        <w:t>E. 3.5.1</w:t>
      </w:r>
    </w:p>
    <w:p>
      <w:r>
        <w:t>En l’occurrence, il n’est pas reproché à l’appelant d’avoir circulé en étant démuni de permis de conduire, mais de ne pas avoir respecté l’interdiction qui lui avait été signifiée de faire usage de son permis étranger en Suisse. Il importe dès lors peu que l’appelant ait eu en sa possession son permis de conduire étranger ; en effet, d’une part, la restitution du permis étranger à une personne ne résidant pas officiellement en Suisse est possible (cf. art. 45 de l’ordonnance réglant l’admission des personnes et des véhicules à la circulation routière [OAC]). D’autre part, et surtout, il s’est vu notifier plusieurs décisions qui lui faisaient interdiction de circuler avec son permis libanais. Il devait au surplus s’attendre à une décision administrative en ce sens puisqu’il avait fait l’objet en octobre 2019 d’un contrôle alors qu’il conduisait en état d’ébriété ayant conduit à sa condamnation du 2 mars 2020. Dès son interpellation le 4 avril 2021, l’appelant a été informé de l’existence d’une interdiction de circuler. Certes, la police, se fiant aux informations erronées figurant dans le FABER, lui a signifié que l’interdiction avait été prononcée en 2016, alors qu’elle l’avait en réalité été en 2020. L’existence de l’interdiction a ainsi été portée à sa connaissance au plus tard lors de cette interpellation et l’appelant ne pouvait plus se prévaloir d’une quelconque bonne foi, surtout après le prononcé à son encontre d’une ordonnance pénale pour infraction à l’art. 95 LCR. Il y a certes fait opposition ; il est toutefois malvenu de prétendre n’avoir, pour cette raison, fait l’objet d’aucune sanction, puisque celle-ci avait été prononcée et notifiée, puis remise en question du fait de son opposition. L’absence de conséquence pénale immédiate n’équivalait donc pas à une absence de réaction de l’autorité ni à une validation du comportement qu’il avait adopté, qui avait au contraire été critiqué et sanctionné par une décision.</w:t>
      </w:r>
    </w:p>
    <w:p>
      <w:r>
        <w:rPr>
          <w:b/>
        </w:rPr>
        <w:t>E. 3.5.2</w:t>
      </w:r>
    </w:p>
    <w:p>
      <w:r>
        <w:t>Il faut toutefois nuancer cette appréciation s’agissant des faits du 4 avril 2021. La décision faisant interdiction à l’appelant d’utiliser son permis étranger a fait l’objet d’une notification édictale, laquelle est en principe possible et valable en procédure administrative lorsque l’administré n’a pas d’adresse connue (cf. art. 46 al. 4 de la loi cantonale sur la procédure administrative [LPA-GE]). Il ressort des pièces produites par l’OCV que le recours à la publication édictale était a priori légitime, les courriers adressés à la seule adresse connue de ce service n’ayant pas pu être notifiés, étant relevé que la constitution d’un avocat auprès du MP ou d’un autre service de l’État ne pouvait pas lui être opposée. La teneur de cette notification n’est toutefois pas adéquate. En effet, l’avis paru dans la feuille d’avis officielle a la teneur suivante : « En application de l'article 46 LPA-GE, [A______], sans domicile connu, est invité à se présenter auprès du service cantonal des véhicules, route de Veyrier 86, 1227 Carouge, pour prendre connaissance d'une décision le concernant. » Cette publication ne permet ainsi pas à son destinataire de prendre connaissance du contenu de la décision prise à son encontre. S’agissant en l’espèce d’une interdiction dont les conséquences, notamment pénales, sont sévères et peuvent aller jusqu’à une peine privative de liberté de trois ans en cas de non-respect, il n’est pas possible de considérer que la simple invitation à retirer une décision au guichet de l’administration – invitation à laquelle il n’a pas été donné suite – permet l’entrée en force de la décision elle-même, étant en particulier relevé que la possibilité d’une publication partielle, prévue à l’art. 46 al. 5 LPA, ne s’applique pas au cas d’espèce (cf. ATF 142 II 411 et DONZALLAZ, La notification en droit interne suisse , Berne 2002, n. 511). Ainsi, l’appelant sera acquitté de la conduite sous retrait de permis pour les faits du 4 avril 2021.</w:t>
      </w:r>
    </w:p>
    <w:p>
      <w:r>
        <w:rPr>
          <w:b/>
        </w:rPr>
        <w:t>E. 3.5.3</w:t>
      </w:r>
    </w:p>
    <w:p>
      <w:r>
        <w:t>En revanche, après son interpellation à cette date, l’appelant ne peut plus se prévaloir d’une quelconque bonne foi. Si la décision administrative ne lui avait certes pas été intégralement communiquée, il avait connaissance de sa teneur. L’impossibilité de lui notifier cette décision lui est imputable dès cette date, faute pour lui d’avoir fourni une adresse valable. À tout le moins sous l’angle de la négligence (également punissable en matière de circulation routière, cf. art. 100 al. 1 LCR), il réalise tous les éléments constitutifs de l’infraction et sa culpabilité de ce chef sera confirmée pour les faits des 24 avril et 26 juin 2021. A cette dernière date, en particulier, l’appelant admet in fine avoir circulé sur la voie publique, ce qui suffit à réaliser l’infraction. Ainsi, quand bien même l’appelant n’a pas été confronté aux agents qui affirment l’avoir vu circuler sur une plus longue distance, les faits sont établis par ses propres déclarations, étant relevé que la place de stationnement où il s’est arrêté relève manifestement de la voie publique au sens défini ci-dessus.</w:t>
      </w:r>
    </w:p>
    <w:p>
      <w:r>
        <w:rPr>
          <w:b/>
        </w:rPr>
        <w:t>E. 3.5.4</w:t>
      </w:r>
    </w:p>
    <w:p>
      <w:r>
        <w:t>C’est en vain que l’appelant conteste la réalisation de l’infraction à l’art. 286 CP. Il admet en effet avoir quitté les lieux précipitamment et s’être caché dans un bosquet. Ses explications tardives sur le rôle du chien de police – qui ne font à la connaissance de la Cour pas l’objet d’une quelconque procédure à l’encontre des agents en cause (laquelle serait du ressort des autorités fédérales) – ne changent rien au fait qu’il a bel et bien compliqué le travail des gardes-frontière en se soustrayant au contrôle et prenant la fuite. Le verdict de culpabilité pour cette infraction est confirmé.</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L'infraction à l’art. 95 al. 1 let. e LCR est passible d'une peine privative de liberté de trois ans au plus ou d'une peine pécuniaire. L’infraction à l’art. 115 al. 1 LEI est passible d’une peine privative de liberté d’un an au plus ou d’une peine pécuniaire. L’infraction à l’art. 286 CP est passible d’une peine pécuniaire de 30 jours au plus.</w:t>
      </w:r>
    </w:p>
    <w:p>
      <w:r>
        <w:rPr>
          <w:b/>
        </w:rPr>
        <w:t>E. 4.2</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4.3</w:t>
      </w:r>
    </w:p>
    <w:p>
      <w:r>
        <w:t>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L'art. 54 CP doit s'appliquer dans le cas où une faute légère a entraîné des conséquences directes très lourdes pour l'auteur et à l'inverse, ne doit pas être appliqué lorsqu'une faute grave n'a entraîné que des conséquences légères pour l'auteur. Entre ces extrêmes, le juge doit prendre sa décision en analysant les circonstances concrètes du cas d'espèce et il dispose d'un large pouvoir d'appréciation.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137 IV 105 consid. 2.3 ; 121 IV 162 consid. 2d ; arrêt du Tribunal fédéral 6B_515/2019 du 11 juin 2019 consid. 2.1). Si l'art. 54 CP n'est pas conçu comme une règle d'exception, il ne doit pas être interprété extensivement (ATF 119 IV 280 consid. 1b). 4.4.1.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4.4.2.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que le tribunal ait fixé (au moins de manière théorique) les peines (hypothétiques) de tous les délits (ATF 144 IV 217 consid. 3.5.3). Cette disposition ne prévoit aucune exception. Le prononcé d'une peine unique dans le sens d'un examen global de tous les délits à juger n'est pas possible (ATF 145 IV 1 consid. 1.4 ; 144 IV 313 consid. 1.1.2). 4.4.3. L'art. 49 al. 2 CP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p. 67 ; arrêt du Tribunal fédéral 6B_623/2016 du 25 avril 2017 consid. 1.1 et 1.4). 4.4.4.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La révocation du sursis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p. 142 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 4.4.5. Concrètement, le juge procède de la manière suivante : il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 p. 152 s.).</w:t>
      </w:r>
    </w:p>
    <w:p>
      <w:r>
        <w:rPr>
          <w:b/>
        </w:rPr>
        <w:t>E. 4.5</w:t>
      </w:r>
    </w:p>
    <w:p>
      <w:r>
        <w:t>En l’espèce, le premier juge a prononcé une peine privative de liberté pour sanctionner les infractions aux. 115 al. 1 let. b LEI et 95 al. 1 let. b LCR, et une peine pécuniaire d’ensemble incluant la révocation des sursis antérieurs pour celles à l’art. 286 CP. L’appelant sollicite le prononcé d’une peine pécuniaire. C’est en vain qu’il plaide que le premier juge aurait été influencé dans le choix de la peine par la « longue durée » d’interdiction, dans la mesure où le TP, comme la CPAR, est lié par la période pénale décrite dans l’acte d’accusation. Au surplus, la juridiction d’appel rend un nouveau jugement (art. 408 CPP) et ne fonde donc pas son raisonnement sur celui du premier juge. La faute de l'appelant est importante et dénote un mépris caractérisé des règles, tant en matière de séjour que de circulation routière ainsi qu’un regrettable mépris de l’autorité. Sa situation personnelle n’est pas favorable et bien qu’il se prévale de revenus réguliers, il n’en démontre pas la réalité. Son renvoi vers le Liban est apparemment en cours d’organisation et, lorsqu’il sera effectivement renvoyé, le recouvrement d’une peine pécuniaire apparaît fortement compromis. A cela s’ajoute que les peines pécuniaires et amendes précédemment prononcées à son encontre n’ont eu aucun effet dissuasif, sinon de l’encourager à persévérer dans ses comportements irresponsables. Dans ces circonstances, le prononcé d’une peine privative de liberté s’impose pour les infractions qui en sont passibles. Cette peine doit être prononcée complémentairement à celle du 8 février 2023, entrée en force, qui constitue elle-même une peine d’ensemble pour des infractions aux art. 95 al. 1 let. b , 96 al. 2 et 97 al. 1 let. a LCR et à l’art. 115 al. 1 let. b LEI. Au vu des multiples récidives, le prononcé d’une peine ferme s’impose. Ces considérations commandent mutatis mutandi la révocation des sursis accordés les 2 mars 2020 (90 jours-amende) et 4 août 2020 (50 jours-amende), et donc la fixation d’une peine d’ensemble tenant compte aussi de celle prononcée le 8 février 2023.</w:t>
      </w:r>
    </w:p>
    <w:p>
      <w:r>
        <w:rPr>
          <w:b/>
        </w:rPr>
        <w:t>E. 4.5.1</w:t>
      </w:r>
    </w:p>
    <w:p>
      <w:r>
        <w:t>En l’espèce, si la Cour de céans avait été appelée à sanctionner les faits présentement reprochés et ceux de conduite sous interdiction d'utilisation du permis de conduire, usage abusif de permis ou de plaques et conduite d'un véhicule non couvert par l'assurance-responsabilité civile commis le 29 mars et le 17 août 2022 ainsi que le séjour illégal pour la période pénale s’étendant jusqu’au 17 août 2022, elle aurait considéré que les faits en lien avec la conduite sous interdiction de faire usage de son permis, à quatre reprises, sont objectivement les plus graves et emportent, pour chaque occurrence, une peine privative de liberté de trois mois, soit une peine d’ensemble de huit mois, qui devrait être aggravée pour tenir compte du séjour illégal d’une peine de trois mois (peine théorique de quatre mois) pour le séjour illégal pour l’ensemble de la période pénale (du 25 janvier au 4 avril 2021, du 6 au 24 avril 2021, du 25 avril au 26 juin 2021, et du 28 juin 2021 au 17 août 2022). Cette peine devrait encore être aggravée de deux mois pour les infractions répétées aux art. 96 et 97 LCR (peine théorique de 20 jours pour chacune des quatre occurrences). La peine d’ensemble est ainsi une peine de quatorze mois, dont à déduire les 120 jours prononcés le 8 février 2023, soit une peine complémentaire de neuf mois. La Cour de céans étant liée par l’interdiction de la reformatio in peius (art. 391 al. 2 CPP), la peine privative de liberté de six mois prononcée par le premier juge sera confirmée.</w:t>
      </w:r>
    </w:p>
    <w:p>
      <w:r>
        <w:rPr>
          <w:b/>
        </w:rPr>
        <w:t>E. 4.5.2</w:t>
      </w:r>
    </w:p>
    <w:p>
      <w:r>
        <w:t>Les trois infractions à l’art. 286 CP reprochées à l’appelant (dans l’ordonnance pénale du 8 février 2023 et dans la présente procédure) sont d’égale gravité, et emportent chacune une peine théorique de 20 jours-amende, soit une peine d’ensemble de 40 jours-amende. Cette sanction doit être aggravée pour tenir compte des sursis révoqués, ce qui porte la peine d’ensemble au maximum légal de 180 jours-amende (art. 34 CP), lequel ne peut pas être dépassé nonobstant le fait que cela avantage indûment le condamné récidiviste (ATF 144 IV 313 consid. 1.1.3). Il faut encore déduire de cette peine les 30 jours-amende prononcés le 8 février 2023. La peine pécuniaire doit ainsi être arrêtée à 150 jours-amende. Le montant de CHF 40.- par jour retenu par le premier juge, non critiqué par l’appelant, est adéquat et sera confirmé.</w:t>
      </w:r>
    </w:p>
    <w:p>
      <w:r>
        <w:rPr>
          <w:b/>
        </w:rPr>
        <w:t>E. 4.5.3</w:t>
      </w:r>
    </w:p>
    <w:p>
      <w:r>
        <w:t>Reste à déterminer le montant de l’amende pour les contraventions commises dans la présente cause, en tenant compte de celles sanctionnées le 8 février 2023. À cet égard, si la Cour de céans avait été amenée à sanctionner de concert le vol d’importance mineure du 29 mars 2022 (CHF 500.-), la consommation de stupéfiants entre le 25 janvier et le 17 août 2022 (CHF 500.-) ainsi que les multiples contraventions aux règles de la circulation routière commises le 24 avril 2021 par l’appelant (CHF 700.-), elle aurait fixé une amende globale de CHF 1'500.-, dont à déduire celle prononcée le 8 février 2023. La Cour de céans étant liée par l’interdiction de la reformatio in peius (art. 391 al. 2 CPP), l’amende de CHF 700.- prononcée par le premier juge sera confirmée. En conclusion, l’appel doit être partiellement admis et l’appelant acquitté des faits du 4 avril 2021, la peine pécuniaire prononcée par le premier juge devant être légèrement réduite pour tenir compte de la condamnation du 8 février 2023.</w:t>
      </w:r>
    </w:p>
    <w:p>
      <w:r>
        <w:rPr>
          <w:b/>
        </w:rPr>
        <w:t>E. 5</w:t>
      </w:r>
    </w:p>
    <w:p>
      <w:r>
        <w:t>L'appelant, qui succombe pour l’essentiel, supportera les trois-quarts des frais de la procédure envers l'État (art. 428 CPP). Sa condamnation aux frais de la procédure de première instance sera réduite dans la même proportion.</w:t>
      </w:r>
    </w:p>
    <w:p>
      <w:r>
        <w:rPr>
          <w:b/>
        </w:rPr>
        <w:t>E. 6.1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6.4</w:t>
      </w:r>
    </w:p>
    <w:p>
      <w:r>
        <w:t>En l'occurrence il convient tout d’abord de souligner que la règle susmentionnée en lien avec la visite mensuelle ne s’applique pas dans la présente procédure, la détention de l’appelant n’ayant pas été prononcée en lien avec les faits de la cause. Seules deux visites seront dès lors indemnisées, suffisantes pour permettre à l’avocat de s’entretenir avec son mandant tout d’abord en lien avec la rédaction du mémoire d’appel, puis pour préparer la duplique consécutive à la réception du dossier de l’OCV. Les quatre autres heures facturées à ce titre seront en revanche écartées. Le temps consacré à la prise de connaissance du jugement entrepris et à la rédaction de la déclaration d’appel (1h15) sera également écarté, cette activité étant couverte par la majoration forfaitaire. Enfin, la durée de rédaction du mémoire d’appel sera ramenée à cinq heures, étant relevé que l’appelant n’a consacré aucune ligne à la problématique de la peine complémentaire et que le dossier ne présentait ainsi aucune complication, étant connu de l’avocat pour avoir été plaidé en première instance. Le temps consacré à la duplique (1h40) sera complètement indemnisé au vu des pièces nouvelles transmises par la CPAR. En conclusion, la rémunération sera arrêtée à CHF 2'757.10 correspondant à 10h40 d'activité au tarif de CHF 200.-/heure plus la majoration forfaitaire de 20% et l'équivalent de la TVA au taux de 7.7% en CHF 197.10.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