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P/7346/2015 vom 25. September 2018</w:t>
      </w:r>
    </w:p>
    <w:p>
      <w:r>
        <w:t>GE Cour de justice, 2018-09-25, FR</w:t>
      </w:r>
    </w:p>
    <w:p>
      <w:r>
        <w:rPr>
          <w:b/>
        </w:rPr>
        <w:t xml:space="preserve">Quelle: </w:t>
      </w:r>
      <w:r>
        <w:t>https://mcp.opencaselaw.ch/entscheid/ge_gerichte_P_7346_2015</w:t>
      </w:r>
    </w:p>
    <w:p>
      <w:r>
        <w:t>FR: GE_GERICHTE P/7346/2015 du 25 septembre 2018</w:t>
      </w:r>
    </w:p>
    <w:p>
      <w:r>
        <w:t>IT: GE_GERICHTE P/7346/2015 del 25 settembre 2018</w:t>
      </w:r>
    </w:p>
    <w:p>
      <w:pPr>
        <w:pStyle w:val="Heading2"/>
      </w:pPr>
      <w:r>
        <w:t>Regeste</w:t>
      </w:r>
    </w:p>
    <w:p>
      <w:r>
        <w:t>FRAIS DE LA PROCÉDURE ; INDEMNITÉ(EN GÉNÉRAL) ; POURSUITE PAR VOIE DE FAILLITE ; CONSEIL D'ADMINISTRATION | CPP.426; CPP.429.al1.leta; CO.716</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l'avoir condamné au paiement des frais de procédure.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6B_429/2017 du 14 février 2018 consid. 5.1 et 6B_385/2017 du 5 décembre 2017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Le comportement du prévenu est illicite lorsqu'il viole manifestement une obligation juridique directe ou indirecte d'agir ou qu'il omet d'agir (L. MOREILLON / A. PAREIN-REYMOND, Petit commentaire CPP , 2 e éd., Bâle 2016, n. 14 ad art. 426).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 Le comportement fautif - admis s'il y a eu au moins une négligence - doit être à l'origine de l'enquête pénale ou alors il doit s'agir d'une "faute procédurale", c'est-à-dire d'un comportement qui a compliqué ou prolongé la procédure, pour que les frais y relatifs puissent être mis à la charge du prévenu.</w:t>
      </w:r>
    </w:p>
    <w:p>
      <w:r>
        <w:rPr>
          <w:b/>
        </w:rPr>
        <w:t>E. 3.2</w:t>
      </w:r>
    </w:p>
    <w:p>
      <w:r>
        <w:t>Aux termes de l'art. 716a al. 1 CO, le conseil d'administration a les attributions intransmissibles et inaliénables d'exerce la haute direction de la société et établir les instructions nécessaires (ch. 1); de fixer les principes de la comptabilité et du contrôle financier ainsi que le plan financier pour autant que celui-ci soit nécessaire à la gestion de la société (ch. 3). Il incombe au conseil d'administration de mettre en place l'organisation appropriée pour permettre que les fonctions énumérées à l'art. 716a al. 1 ch. 3 CO soient effectivement et efficacement exercées (P. TERCIER / M. AMSTUTZ / R. TRIGO TRINDADE (éds), Commentaire romand : Code des obligations II, art. 530-11860 CO, 120-141 LIMF, ORAb, avec des introductions à la LFus et la LTI , 2 ème , Bâle 2017, n° 21 ad art. 716a). En raison de la responsabilité qui lui incombe en matière de finances (art. 716a al. 1 ch. 3 CO), le conseil d'administration doit, lorsqu'apparaissent des pertes ou des problèmes de liquidités, se préoccuper de l'équilibre financier de la société (P. BÖCKLI, Schweizer Aktienrecht , 1996, n° 1556, p. 808), ce qui implique le devoir de prendre les mesures nécessaires en vue d'équilibrer les comptes. Sous le terme "contrôle financier", le conseil d'administration assume la responsabilité pour une organisation appropriée du contrôle interne, répondant aux besoins de la société. Il s'agit donc du contrôle interne de tout ce qui concerne les aspects financiers de l'activité de la société (P. TERCIER / M. AMSTUTZ / R. TRIGO TRINDADE (éds), Commentaire romand : Code des obligations II, art. 530-11860 CO, 120-141 LIMF, ORAb, avec des introductions à la LFus et la LTI , 2 ème , Bâle 2017, n° 24 ad art. 716a et les références citées). Quand bien même l'administrateur doit sa nomination à l'actionnaire dominant, il doit, dans l'accomplissement des tâches de l'art. 716a al. 1 CO, veiller à protéger la société et ses créanciers, même contre les intérêts de l'actionnaire dominant (M.-N. ZEN-RUFFINEN / M. BAUEN, Le conseil d'administration, 2017, n° 646, p.246).</w:t>
      </w:r>
    </w:p>
    <w:p>
      <w:r>
        <w:rPr>
          <w:b/>
        </w:rPr>
        <w:t>E. 3.3</w:t>
      </w:r>
    </w:p>
    <w:p>
      <w:r>
        <w:t>En l'espèce, il est constant que, fin 2012, le recourant a constaté l'existence d'un découvert de CHF 180'000.-. S'il a certes mis en place un système de livre de caisse et demandé au directeur/actionnaire de rembourser à la société les sommes qu'il avait prélevées, la situation s'est néanmoins péjorée au point de parvenir à un surendettement. Force est de constater que le recourant, malgré son statut d'administrateur, n'a pas pris les mesures coercitives qu'il aurait pu et dû prendre pour empêcher des prélèvements supplémentaires par l'actionnaire et lui imposer un plan de remboursement. En se contentant d'être tributaire des documents remis par le précité et en ne prenant pas les mesures nécessaires à empêcher de nouveaux retraits indus, il a failli à ses obligations, au sens de l'art. 716 CO. Les démarches qu'il a entreprises en vue de "sauver la société" , par la prise de contact avec la D______ et les créanciers, étaient insuffisantes au regard de ses obligations d'administrateur, dès l'instant où il avait identifié l'origine du découvert. La violation, en sa qualité d'administrateur, des obligations précitées était de nature à faire naître, selon le cours ordinaire des choses et l'expérience de la vie, le soupçon d'un comportement contraire au droit pénal justifiant l'ouverture d'une enquête. C'est ainsi à bon droit que le Ministère public a mis les frais de justice à la charge du recourant.</w:t>
      </w:r>
    </w:p>
    <w:p>
      <w:r>
        <w:rPr>
          <w:b/>
        </w:rPr>
        <w:t>E. 4</w:t>
      </w:r>
    </w:p>
    <w:p>
      <w:r>
        <w:t>Le recourant critique le refus du Ministère public de lui allouer une indemnité pour ses frais de défense.</w:t>
      </w:r>
    </w:p>
    <w:p>
      <w:r>
        <w:rPr>
          <w:b/>
        </w:rPr>
        <w:t>E. 4.1</w:t>
      </w:r>
    </w:p>
    <w:p>
      <w:r>
        <w:t>Aux termes de l'art. 429 al. 1 CPP, si le prévenu bénéficie d'une ordonnance de classement, il a droit à une indemnité pour les dépenses occasionnées par l'exercice raisonnable de ses droits de procédure (let. a). En vertu de l'art. 430 al. 1 let. a CPP, l'autorité pénale peut toutefois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les frais préjuge de l'indemnisation. Il en résulte qu'en cas de condamnation aux frais, il n'y a pas lieu d'octroyer de dépens ou de réparer le tort moral (ATF 137 IV 352 consid. 2.4.2; arrêt du Tribunal fédéral 6B_1191/2016 précité, consid. 2.1).</w:t>
      </w:r>
    </w:p>
    <w:p>
      <w:r>
        <w:rPr>
          <w:b/>
        </w:rPr>
        <w:t>E. 4.2</w:t>
      </w:r>
    </w:p>
    <w:p>
      <w:r>
        <w:t>En l'espèce, le mis en cause étant astreint au paiement des frais en application de l'art. 426 al. 2 CPP (cf. consid. 3.3. supra), le refus du Ministère public de le dédommager pour ses frais de procédure au sens de l'art. 429 al. 1 let. a CPP ne prête nullement le flanc à la critique. La décision querellée sera donc confirmée sur ce point également.</w:t>
      </w:r>
    </w:p>
    <w:p>
      <w:r>
        <w:rPr>
          <w:b/>
        </w:rPr>
        <w:t>E. 5</w:t>
      </w:r>
    </w:p>
    <w:p>
      <w:r>
        <w:t>Le recourant, qui succombe, supportera les frais envers l'État, qui comprendront un émolument de CHF 1'000.- (art. 428 al. 1 CPP et 13 al. 1 du Règlement fixant le tarif des frais en matière pénale, RTFMP ; E 4 10.03). Vu l'issue de la cause, la conclusion relative au versement d'une indemnité à titre d'honoraires d'avocat du recourant sera rejetée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