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P/733/2018 vom 24. Januar 2019</w:t>
      </w:r>
    </w:p>
    <w:p>
      <w:r>
        <w:t>GE Cour de justice, 2019-01-24, FR</w:t>
      </w:r>
    </w:p>
    <w:p>
      <w:r>
        <w:rPr>
          <w:b/>
        </w:rPr>
        <w:t xml:space="preserve">Quelle: </w:t>
      </w:r>
      <w:r>
        <w:t>https://mcp.opencaselaw.ch/entscheid/ge_gerichte_P_733_2018</w:t>
      </w:r>
    </w:p>
    <w:p>
      <w:r>
        <w:t>FR: GE_GERICHTE P/733/2018 du 24 janvier 2019</w:t>
      </w:r>
    </w:p>
    <w:p>
      <w:r>
        <w:t>IT: GE_GERICHTE P/733/2018 del 24 gennaio 2019</w:t>
      </w:r>
    </w:p>
    <w:p>
      <w:pPr>
        <w:pStyle w:val="Heading2"/>
      </w:pPr>
      <w:r>
        <w:t>Regeste</w:t>
      </w:r>
    </w:p>
    <w:p>
      <w:r>
        <w:t>VOL(DROIT PÉNAL) ; VIOLATION DE DOMICILE ; TENTATIVE(DROIT PÉNAL) ; ENTRÉE ILLÉGALE ; SÉJOUR ILLÉGAL ; EXPULSION(DROIT PÉNAL) ; ANTÉCÉDENT | CP.139.al1; CP.139.al2; CP.186; LEtr.115.al1.leta et b; CP.47; CP.49.al1; CP.42.al2; CP.66.ala.letc et d</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2.1.3. A l'instar des autres moyens de preuve, le juge apprécie librement la force probante d'une expertise – dont celles portant sur l'analyse de profils d'ADN (M. NIGGLI / M. HEER / H. WIPRÄCHTIGER (éds), Strafprozessordnung – Jugendstrafprozessordnung, Basler Kommentar StPO/JStPO, 2e éd., Bâle 2014, art. 182 n° 2 ; A. KUHN / Y. JEANNERET (éds), ad art. 42, art. 182 n° 2, 7 et 10) –, étant rappelé qu'il ne peut s'écarter des conclusions de l'expert sans motifs sérieux et qu'il doit alors motiver sa décision (ATF 129 I 49 ; arrêt du Tribunal fédéral 6B_787/2009 du 27 novembre 2009 consid. 1.1). 2.2.1. L'art. 139 CP punit d’une peine privative de liberté de cinq ans au plus ou d’une peine pécuniaire celui qui, pour se procurer ou procurer à un tiers un enrichissement illégitime, aura soustrait une chose mobilière appartenant à autrui dans le but de se l’approprier (ch. 1). Le vol sera puni d'une peine privative de liberté de dix ans au plus ou d'une peine pécuniaire de 90 jours-amende au moins si son auteur fait métier du vol (ch. 2). 2.2.2. Contrairement à la circonstance qualifiée prévue en matière de stupéfiants et de blanchiment d'argent (art. 19 al. 2 let. c LStup ; art. 305bis ch. 2 let. c CP ; ATF 129 IV 188 consid. 3.1.2), l'aggravation du vol par métier au sens de l'art. 139 ch. 2 CP, dont la peine menace minimale n'est que de 90 jours-amende,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 arrêt du Tribunal fédéral 6B_180/2013 du 2 mai 2013 consid. 2). 2.2.3. Le métier englobe dans une même qualification aussi bien les vols que les tentatives de vol, ces dernières ne devant pas être retenues séparément (B. CORBOZ, Les infractions en droit suisse , Vol. 1, 3e éd., n° 15 ad art. 139 CP) et exclut l'atténuante de l'infraction d'importance mineure de l'art. 172 ter CP.</w:t>
      </w:r>
    </w:p>
    <w:p>
      <w:r>
        <w:rPr>
          <w:b/>
        </w:rPr>
        <w:t>E. 2.3</w:t>
      </w:r>
    </w:p>
    <w:p>
      <w:r>
        <w:t>Selon l'art. 144 al. 1 CP, se rend coupable de dommages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w:t>
      </w:r>
    </w:p>
    <w:p>
      <w:r>
        <w:rPr>
          <w:b/>
        </w:rPr>
        <w:t>E. 2.4</w:t>
      </w:r>
    </w:p>
    <w:p>
      <w:r>
        <w:t>L'infraction de violation de domicile (art. 186 CP) protège la liberté du domicile qui comprend la faculté de régner sur des lieux déterminés sans être troublé et d'y manifester librement sa propre volonté; la liberté du domicile appartient à celui qui a le pouvoir de disposer des lieux, que ce soit en vertu d'un droit réel ou personnel ou encore d'un rapport de droit public (ATF 128 IV 81 consid. 3a). 2.5.1. En l'espèce, l'appelant est mis en cause, pour les occurrences F______, G______ et D______, par les éléments objectifs du dossier. Il était présent à Genève les 30 et 31 janvier ainsi que 1 er février 2018, comme il est établi par le fait qu'il était en possession d'une carte SIM activée durant cette période et de tickets de supermarché datés des 31 janvier et 1 er février 2018, ainsi que par le fait qu'il a commis d'autres méfaits, non contestés, à cette dernière date. Il a été trouvé en possession de la pince ayant permis de forcer la porte des logements des plaignants, et du K______ de G______ de même que de Yens, étant rappelé que la partie plaignante D______ a affirmé avoir été dépossédée de monnaie asiatique. L'appelant ne parait d'ailleurs pas contester que ces biens provenaient de ces deux cambriolages mais soutient qu'ils ont été commis par les bienfaiteurs Géorgiens qui les lui auraient remis de même que la pince et, selon les version, les deux tournevis. Il s'agit d'indices forts et convergents à charge, encore renforcés par le fait qu'il est par ailleurs établi que l'intéressé est un cambrioleur ayant sévi dans la région durant la période en cause. 2.5.2. Les explications qu'il fournit pour susciter un doute ne sont pas une seconde crédibles. D'une part, le prévenu a varié, étant rappelé qu'il avait commencé par affirmer que la clé et les tournevis lui appartenaient et qu'il avait ramené les Yens d'un voyage à Paris pour n'évoquer les individus rencontrés sur un parking que dans un second temps. D'autre part, et surtout, la version selon laquelle ces délinquants au grand cœur auraient voulu venir en aide à un compatriote dans la précarité en lui donnant notamment une clé à molette, utile au cas où il aurait une panne de voiture, et un K______ volé, outre des Yens, est totalement fantaisiste. 2.5.3 Force est partant de constater que l'appelant est bien l'auteur des trois occurrences en cause de sorte que l'appel est rejeté sur ce point.</w:t>
      </w:r>
    </w:p>
    <w:p>
      <w:r>
        <w:rPr>
          <w:b/>
        </w:rPr>
        <w:t>E. 2.6</w:t>
      </w:r>
    </w:p>
    <w:p>
      <w:r>
        <w:t>Indépendamment de l'absence d'enjeu, la circonstance aggravante du métier, dont la réalisation sera confirmée ci-après (consid. 2.7) absorbant la tentative, il n'y a pas non plus de raison de suivre l'appelant lorsqu'il affirme ne pas être parvenu à pénétrer dans le logement de E______ et n'en avoir rien emporté. Rien ne justifie en effet que l'on mette en doute la véracité de la plainte, d'autant qu'elle est, dans la mesure du possible, documentée, et que le montant du préjudice allégué est relativement modeste, alors que la crédibilité de l'appelant est faible, celui-ci s'étant attelé à minimiser son implication (dénégations persistantes pour les occurrences F______, G______ et D______ précitées ; dénégations initiales pour les cas L______ et J______). Le fait qu'il n'ait pas été trouvé en possession du butin n'est guère relevant, plus de deux mois s'étant écoulés entre le vol et son arrestation. Le jugement est confirmé sur ce point également.</w:t>
      </w:r>
    </w:p>
    <w:p>
      <w:r>
        <w:rPr>
          <w:b/>
        </w:rPr>
        <w:t>E. 2.7</w:t>
      </w:r>
    </w:p>
    <w:p>
      <w:r>
        <w:t>L'appelant a commis six cambriolages et deux vols à l'étalage entre le</w:t>
      </w:r>
    </w:p>
    <w:p>
      <w:r>
        <w:rPr>
          <w:b/>
        </w:rPr>
        <w:t>E. 3</w:t>
      </w:r>
    </w:p>
    <w:p>
      <w:r>
        <w:t>3.1.1. A teneur de l'art. 115 al. 1 LEtr (les faits ayant été commis avant le changement d'intitulé de la loi), sera puni d'une peine privative de liberté d'un an au plus ou d'une peine pécuniaire, quiconque contrevient aux dispositions sur l'entrée en Suisse prévues à l'art. 5 LEtr (let. a), y séjourne illégalement (let. b), exerce une activité lucrative sans autorisation (let. c) ou entre en Suisse ou quitte la Suisse sans passer par un poste frontière autorisé (let. d). 3.1.2. L'art. 5 LEtr prescrit que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Ces prescriptions sont cumulatives ( AARP/323/2017 c. 3.3.2 et 3.3.3). Cette disposition, relative à l'entrée en Suisse, n'est applicable que dans la mesure où les accords d'association à Schengen ne contiennent pas de dispositions divergentes (cf. art. 2 al. 4 LEtr). 3.1.3. Depuis le 28 mars 2017, les ressortissants géorgiens titulaires d’un passeport biométrique sont exemptés de l’obligation de visa pour tout séjour sans activité lucrative de 90 jours au plus dans l'espace Schengen [Règlement (UE) 2017/372 du Parlement européen et du Conseil du 1er mars 2017 modifiant le règlement (CE) n° 539/2001 fixant la liste des pays tiers dont les ressortissants sont soumis à l’obligation de visa pour franchir les frontières extérieures des États membres et la liste de ceux dont les ressortissants sont exemptés de cette obligation (Géorgie) ; https://www.eda.admin.ch/countries/georgia/fr/home/visa-&amp;-entree-en-suisse/entree-ch.html ]. 3.1.4. Selon l'art. 6 par. 1 du Code frontières Schengen, pour un séjour prévu sur le territoire des Etats membres d'une durée n'excédant pas 90 jours sur toute période de 180 jours, les ressortissants de pays tiers doivent disposer de moyens de subsistance suffisants, tant pour la durée du séjour envisagé que pour leur retour dans leur pays d'origine ou le transit vers un pays tiers dans lequel leur admission est garantie, ou être en mesure d'acquérir légalement ces moyens. Selon l'art. 6 par. 4 dudit Code,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 ressortissants de pays tiers logés chez l'habitant, peuvent aussi constituer une preuve de moyens de subsistance suffisants. L'appelant n'établit pas qu'il disposait d'économies lui permettant de subvenir à ses besoins en Suisse. Au contraire, à la fois dans sa tentative de crédibiliser la thèse des généreux donateurs et pour minimiser sa faute s'agissant des cambriolages reconnus, il souligne qu'il était dans la précarité. De fait, force est de retenir qu'il était lors de ses entrées en Suisse intervenues entre le 3 novembre 2017 et le 2 février 2018, dépourvu de la moindre source de revenu autre qu'illicite. Il a partant bien contrevenu à l'art. 115 al. 1 let. a et b LEtr pour être entré en Suisse et y avoir séjourné alors qu'il ne disposait pas des ressources suffisantes à assurer sa subsistance, à tout le moins de manière licite. L'appel est partant rejeté sur ce point encore.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4.1.3. 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w:t>
      </w:r>
    </w:p>
    <w:p>
      <w:r>
        <w:rPr>
          <w:b/>
        </w:rPr>
        <w:t>E. 4.2</w:t>
      </w:r>
    </w:p>
    <w:p>
      <w:r>
        <w:t>L'appelant, tout en plaidant une peine " en tout état " plus clémente que celle prononcée par le premier juge, n'a pas véritablement développé de critique à l'égard de celle-ci, pour l'hypothèse où le verdict de culpabilité serait confirmé. A raison, car la sanction prononcée est mesurée eu égard à la gravité de la faute de l'intéressé, qui a agi avec méthode et détermination durant près de trois mois, réalisant un butin important, au préjudice de particuliers ou commerçants, sans égard pour leur biens et les sentiments des premiers face à la violation de l'intimité de leur domicile. Il a également contrevenu, à plusieurs reprises puisqu'il affirme avoir fait des aller-retour, aux dispositions sur l'entrée et le séjour des étrangers, cela aux seules fins de s'adonner à la pratique du vol par métier, avec les infractions collatérales de violation de domicile et dommage à la propriété. Son mobile était égoïste, relevant de l'appât du gain. L'appelant ne parait pas avoir pris la réelle mesure du caractère illicite de ses actes, qu'il minimise. Il est au surplus renvoyé aux considérants du jugement entrepris, que la CPAR fait siens, dès lors qu'ils consacrent une juste application des critères des art. 47 et 49 al. 1 CP et coïncident avec sa propre appréciation. L'appel est rejeté dans la mesure où il vise la peine.</w:t>
      </w:r>
    </w:p>
    <w:p>
      <w:r>
        <w:rPr>
          <w:b/>
        </w:rPr>
        <w:t>E. 5</w:t>
      </w:r>
    </w:p>
    <w:p>
      <w:r>
        <w:t>5.1.1.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Autrement dit, en cas de récidive au sens de cet alinéa, seules deux hypothèses sont envisageables : soit les circonstances sont particulièrement favorables et le sursis total doit être accordé à l'auteur ; soit les circonstances sont mitigées ou défavorables et le sursis, respectivement partiel ou total, est alors exclu (arrêts du Tribunal fédéral 6B_430/2016 du 27 mars 2017 consid. 3.1 ; 6B_492/2008 du 19 mai 2009 consid. 3.1.3 non publié in ATF 135 IV 152 ; cf. plus généralement : ATF 134 IV 1 consid. 4.2.3 p. 7).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(arrêts du Tribunal fédéral 6B_872/2016 du 15 juin 2017 consid. 2.1 ; 6B_100/2016 du 19 octobre 2016 consid. 2.1 ; Message concernant la modification du code pénal suisse [dispositions générales, entrée en vigueur et application du code pénal] et du code pénal militaire ainsi qu'une loi fédérale régissant la condition pénale des mineurs du 21 septembre 1998, FF 1999 p. 1855). Tel peut être le cas lorsque les faits les plus récents n'ont aucun rapport avec le jugement antérieur ou encore en cas de modification particulièrement positive dans la vie de l'auteur (ATF 134 IV 1 consid. 4.2.3 p. 6 ; arrêts du Tribunal fédéral 6B_658/2017 du 30 janvier 2018 consid. 1.2 ; 6B_64/2017 du 24 novembre 2017 consid. 2.2 ; 6B_872/2016 du 15 juin 2017 consid. 2.1 ; 6B_352/2014 du 22 mai 2015 consid. 7.1. non publié in ATF 141 IV 273 ). La coopération et les regrets sincères, qui constituent des facteurs d'appréciation de sa culpabilité (cf. art. 47 et 48 let. d CP), ne suffisent pas à faire apparaître les circonstances comme particulièrement favorables (arrêt du Tribunal fédéral 6B_100/2016 du 19 octobre 2016 consid. 2.4.1 et les références). Cela étant,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(arrêts du Tribunal fédéral 6B_42/2018 du 17 mai 2018 consid. 1.2 ; 6B_869/2016 du 1 er juin 2017 consid. 4.2 ; 6B_510/2010 du 4 octobre 2010 consid. 1.2.2). Seuls les antécédents judiciaires de l'intimé qui sont inscrits à son casier judiciaire doivent être pris en considération, à l'exclusion des inscriptions éliminées ou de condamnations non inscrites (art. 369 al. 7 CP ; ATF 135 IV 87 ; arrêt du Tribunal fédéral 6B_42/2018 du 17 mai 2018 consid. 1.4). Lorsque l'hypothèse visée par l'art. 42 al. 2 CP est réalisée, un sursis partiel au sens de l'art. 43 CP est exclu (arrêt du Tribunal fédéral 6B_352/2014 2014 du 22 mai 2015 consid. 7.1. non publié in ATF 141 IV 273 ). 5.1.2.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Mais cette réserve doit être rapprochée de celle de l'ordre public (arrêts du Tribunal fédéral 6B_244/2010 du 4 juin 2010 consid. 1 ; 6S.253/2004 du 3 novembre 2004 consid. 4).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 ( AARP/222/2016 du 30 mai 2016, consid 7.4 ; M. NIGGLI / H. WIPRÄCHTIGER, Basler Kommentar Strafrecht I : Art. 1-110 StGB, Jugendstrafgesetz , 2 ème éd., Bâle 2007, n. 90 ad art. 42).</w:t>
      </w:r>
    </w:p>
    <w:p>
      <w:r>
        <w:rPr>
          <w:b/>
        </w:rPr>
        <w:t>E. 5.2</w:t>
      </w:r>
    </w:p>
    <w:p>
      <w:r>
        <w:t>L'appelant ne soutient pas que la condamnation prononcée par les autorités Chypriotes, dont il affirme à tort qu'elle serait connue uniquement grâce à ses déclarations, dès lors qu'elle résulte également du signalement par Interpol [Chypre], ne devrait pas être pris en considération en sa défaveur. En particulier, il ne prétend pas qu'elle remonterait à plus de cinq ans avant les infractions présentement jugées – ce qui ne peut avoir été le cas, l'intéressé ayant été expulsé du pays après onze mois de détention, à la fin de l'année 2015 – , ni qu'elle pourrait être contraire aux principes généraux du droit suisse. Même dans sa version, à laquelle il faut se tenir, faute d'éléments plus précis, notamment d'un extrait du casier judiciaire chypriote, l'antécédent est spécifique. Dans ces circonstances, l'existence de cette condamnation exclut l'octroi du sursis, à moins de circonstances particulièrement favorables, ce qui n'est manifestement pas le cas, et n'est d'ailleurs pas même plaidé. L'appel est rejeté sur ce dernier point encore.</w:t>
      </w:r>
    </w:p>
    <w:p>
      <w:r>
        <w:rPr>
          <w:b/>
        </w:rPr>
        <w:t>E. 6</w:t>
      </w:r>
    </w:p>
    <w:p>
      <w:r>
        <w:t>Les motifs ayant conduit le premier juge à prononcer, par ordonnance séparée du 23 août 2018, le maintien de l'appelant, en détention pour des motifs de sûreté sont toujours d'actualité, ce que celui-ci ne conteste au demeurant pas, de sorte que la mesure sera reconduite mutatis mutandis (ATF 139 IV 277 consid. 2.2 à 2.3).</w:t>
      </w:r>
    </w:p>
    <w:p>
      <w:r>
        <w:rPr>
          <w:b/>
        </w:rPr>
        <w:t>E. 7</w:t>
      </w:r>
    </w:p>
    <w:p>
      <w:r>
        <w:t>L'appelant, qui succombe, supportera les frais de la procédure envers l'État (art. 428 CPP), comprenant un émolument de CHF 1'500.-.</w:t>
      </w:r>
    </w:p>
    <w:p>
      <w:r>
        <w:rPr>
          <w:b/>
        </w:rPr>
        <w:t>E. 8</w:t>
      </w:r>
    </w:p>
    <w:p>
      <w:r>
        <w:t>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w:t>
      </w:r>
    </w:p>
    <w:p>
      <w:r>
        <w:rPr>
          <w:b/>
        </w:rPr>
        <w:t>E. 8.2</w:t>
      </w:r>
    </w:p>
    <w:p>
      <w:r>
        <w:t>Selon l'art. 135 al. 1 CPP, le défenseur d'office ou le conseil juridique gratuit (art. 138 al. 1 CPP) est indemnisé conformément au tarif des avocats de la Confédération ou du canton du for du procès, soit, à Genève, CHF 150.-/heure lorsque l'activité est déployée par un avocat collaborateur (art. 16 du règlement sur l'assistance juridique du 28 juillet 2010 [RAJ150 ; E 2 05.04]), étant précisé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En outre, de pratique constante, et admise par le Tribunal fédéral (notamment, arrêt 6B_1045/2017 du 27 avril 2018 consid. 3.3), une indemnité forfaitaire est allouée au défenseur d'office / conseil juridique gratuit pour couvrir les opérations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Le forfait est de 10% du temps retenu lorsque celui-ci dépasse les 30 heures, 20% en deça.</w:t>
      </w:r>
    </w:p>
    <w:p>
      <w:r>
        <w:rPr>
          <w:b/>
        </w:rPr>
        <w:t>E. 8.4</w:t>
      </w:r>
    </w:p>
    <w:p>
      <w:r>
        <w:t>En l'occurrence, il convient d'écarter de l'état de frais produit par M e C______ le temps consacré à la rédaction de la déclaration d'appel, dite activité étant déjà couverte par la majoration forfaitaire, de même que la consultation du dossier au greffe de la Cour, qui n'a pu prendre que quelques minutes (et non une demi-heure) le temps de s'assurer qu'aucune pièce nouvelle n'y avait été versée au stade de l'appel sans être communiquée à la défense. Par ailleurs, vu la faible complexité ou ampleur du dossier, au demeurant censé connu du défenseur d'office constitué en première instance déjà, seules trois heures seront admises au titre de la préparation des débats d'appel, auxquelles il conviendra d'ajouter la durée de l'audience, par 90 minutes. L'activité répondant aux critères de nécessité et d'adéquation est ainsi arrêtée à</w:t>
      </w:r>
    </w:p>
    <w:p>
      <w:r>
        <w:rPr>
          <w:b/>
        </w:rPr>
        <w:t>E. 10</w:t>
      </w:r>
    </w:p>
    <w:p>
      <w:r>
        <w:t>heures et trente minutes. L'indemnité, de CHF 1'575.- (= 10.5 x 150.-) sera complétée de la majoration forfaitaire de 10% (le nombre d'heures consacré à l'ensemble de la procédure dépassant les 30 heures), soit CHF 158.- ainsi que de deux forfaits de CHF 75.- pour les vacations en vue de la consultation du dossier et à l'audience, outre de la TVA par 7.7% (CHF 144.90). En outre, l'avocate doit être couverte des débours exposés (CHF 640.-). Le montant dû en définitive est donc de CHF 2'667.90.-.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