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P/7301/2023 vom 23. Mai 2024</w:t>
      </w:r>
    </w:p>
    <w:p>
      <w:r>
        <w:t>GE Cour de justice, 2024-05-23, FR</w:t>
      </w:r>
    </w:p>
    <w:p>
      <w:r>
        <w:rPr>
          <w:b/>
        </w:rPr>
        <w:t xml:space="preserve">Quelle: </w:t>
      </w:r>
      <w:r>
        <w:t>https://mcp.opencaselaw.ch/entscheid/ge_gerichte_P_7301_2023</w:t>
      </w:r>
    </w:p>
    <w:p>
      <w:r>
        <w:t>FR: GE_GERICHTE P/7301/2023 du 23 mai 2024</w:t>
      </w:r>
    </w:p>
    <w:p>
      <w:r>
        <w:t>IT: GE_GERICHTE P/7301/2023 del 23 maggio 2024</w:t>
      </w:r>
    </w:p>
    <w:p>
      <w:pPr>
        <w:pStyle w:val="Heading2"/>
      </w:pPr>
      <w:r>
        <w:t>Regeste</w:t>
      </w:r>
    </w:p>
    <w:p>
      <w:r>
        <w:t>ORDONNANCE DE NON-ENTRÉE EN MATIÈRE;FAUX MATÉRIEL DANS LES TITRES;DEVIS | CPP.310; CP.251</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 1.2.1. Seule une partie à la procédure qui a un intérêt juridiquement protégé à la modification ou à l'annulation de la décision querellée peut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1.2.2. L'art. 251 CP (faux dans les titres) protège en premier lieu un bien juridique collectif, à savoir la confiance que l'on peut accorder, dans les relations juridiques, à un titre en tant que moyen de preuve (ATF 142 IV 119 consid. 2.2; 137 IV 167 consid. 2.3.1) et dans la vie des affaires, aux pièces de légitimation, certificats et attestations (ATF 95 IV 68 ). Toutefois, cette disposition vise également la protection d’intérêts individuels, puisque la volonté d’atteinte aux intérêts pécuniaires ou aux droits d’autrui constitue l’un des éléments subjectifs alternatifs. Ainsi, lorsque le faux dans les titres vise à nuire à une personne déterminée, celle-ci a qualité de lésé (ATF 140 IV 155 consid. 3.3.3; Y. JEANNERET / A. KUHN / C. PERRIER DEPEURSINGE (éds), Commentaire romand : Code de procédure pénale suisse , 2 ème éd., Bâle 2019, n. 11 ad art. 115). 1.2.3. En l'occurrence, la recourante allègue, dans ses développements sur le fond de la cause, que le devis litigieux aurait été utilisé par le mis en cause pour attester d'une relation contractuelle, étayer le bien-fondé d'une facture qu'elle conteste pour sa part et, enfin, justifier une procédure de séquestre en matière civile. Dans ces circonstances, la qualité de lésée de la recourante sera admise. Partant, le recours est recevable.</w:t>
      </w:r>
    </w:p>
    <w:p>
      <w:r>
        <w:rPr>
          <w:b/>
        </w:rPr>
        <w:t>E. 2</w:t>
      </w:r>
    </w:p>
    <w:p>
      <w:r>
        <w:t>La recourante conteste le refus du Ministère public d'entrer en matière sur sa plainte. À titre liminaire, elle ne semble plus mettre en cause C______, de sorte qu'il ne sera pas discuté plus en avant du comportement de celle-ci.</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une procédure pénale peut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l'absence manifeste des éléments constitutifs d'une infraction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2.2</w:t>
      </w:r>
    </w:p>
    <w:p>
      <w:r>
        <w:t>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2.3.1.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144 IV 13 consid. 2.2.2; arrêt du Tribunal fédéral 6B_367/2022 du 4 juillet 2022 consid. 1.1). 2.3.2. La notion de titre utilisé par l'art. 251 CP est définie par l'art. 110 al. 4 CP.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C'est pourquoi parmi les titres on ne trouve notamment que les écrits destinés et propres à prouver un fait ayant une portée juridique (ATF 142 IV 119 consid. 2.2; 138 IV 130 consid. 2.1; arrêt 6B_717/2018 du 10 septembre 2018 consid. 4.1). Cela signifie un fait qui, seul ou en liaison avec d'autres faits, donne naissance à un droit, le modifie, le supprime ou le constate (ATF 113 IV 77 consid. 3a; M. DUPUIS / L. MOREILLON / C. PIGUET / S. BERGER / M. MAZOU / V. RODIGARI (éds), Code pénal - Petit commentaire, 2e éd., Bâle 2017, n. 23 ad art. 110). 2.3.3. Le caractère de titre d'un écrit est relatif. Le document ne vaut pas nécessairement titre dans son ensemble. Il n'a la qualité de titre que sur les points où il est apte à prouver un fait ayant une portée juridique; il ne l'a pas dans la mesure où il mentionne un fait qui n'a pas de portée juridique ou un fait qu'il n'est pas apte à prouver (ATF 132 IV 59 consid. 5.1; B. CORBOZ, Les infractions en droit suisse, vol. II ,</w:t>
      </w:r>
    </w:p>
    <w:p>
      <w:r>
        <w:rPr>
          <w:b/>
        </w:rPr>
        <w:t>E. 2.4</w:t>
      </w:r>
    </w:p>
    <w:p>
      <w:r>
        <w:t>En l'espèce, le Ministère public a dénié au devis litigieux – qui comporte la signature (alléguée) de la recourante – la qualité de titre au sens de l'art. 110 al. 4 CP. Pour rappel, le mis en cause a fait usage de ce document à l'appui de sa requête de séquestre civil à l'encontre de la recourante. Dans ce contexte, le devis était destiné à étayer la vraisemblance d'une prétention à l'égard de cette dernière. En effet, un simple devis revêt certes un caractère d'offre mais, une fois signé par son destinataire, il peut acquérir la qualité d'une reconnaissance de dette (cf. ACJC/875/2021 du 30 juin 2021 consid. 2.1) et, partant, permettre à un créancier dont le débiteur n'habite pas en Suisse d'obtenir un séquestre (art. 271 al. 1 ch. 4 LP) ou une mainlevée provisoire (art. 82 al. 1 LP). C'est d'ailleurs ce qu'a obtenu le mis en cause, puisque le TPI a, dans un premier temps, donné suite à sa requête et prononcé le séquestre du salaire de la recourante, en retenant notamment le "devis signé du 7 février 2022 " comme cause de l'obligation. Celui-ci laissait en effet penser que la recourante avait accepté les termes proposés par le mis en cause et qu'ils étaient ainsi liés contractuellement. Dans ces circonstances, ledit devis, dans sa forme paraphée supposément par la recourante, était destiné et fut apte, de prime abord, à démontrer un fait ayant une portée juridique. Que le TPI ait finalement révoqué le séquestre et constaté que le document en cause ne revêtait pas la qualité de titre propre à fonder la créance – outre qu'il s'agit de considérations de droit civil – n'efface pas le premier but du mis en cause auquel le devis a permis d'aboutir. En définitive, le Ministère public ne pouvait pas refuser d'entrer en matière sur la plainte de la recourante au motif que le devis contesté n'était pas un titre. Pour le surplus, les éléments au dossier ne permettent pas, en l'état, d'exclure la réalisation des autres éléments constitutifs de l'infraction de faux dans les titres.</w:t>
      </w:r>
    </w:p>
    <w:p>
      <w:r>
        <w:rPr>
          <w:b/>
        </w:rPr>
        <w:t>E. 3</w:t>
      </w:r>
    </w:p>
    <w:p>
      <w:r>
        <w:t>Fondé, le recours doit être admis. Partant, l'ordonnance querellée sera annulée et la cause renvoyée au Ministère public pour un complément d'enquête (art. 309 al. 2 CPP) et/ou l'ouverture d'une instruction (art. 309 al. 1 CPP).</w:t>
      </w:r>
    </w:p>
    <w:p>
      <w:r>
        <w:rPr>
          <w:b/>
        </w:rPr>
        <w:t>E. 4</w:t>
      </w:r>
    </w:p>
    <w:p>
      <w:r>
        <w:t>L'admission du recours ne donne pas lieu à la perception de frais (art. 428 al. 1 CPP). Les sûretés versées par la recourante (CHF 1'200.-) lui seront restituées.</w:t>
      </w:r>
    </w:p>
    <w:p>
      <w:r>
        <w:rPr>
          <w:b/>
        </w:rPr>
        <w:t>E. 5</w:t>
      </w:r>
    </w:p>
    <w:p>
      <w:r>
        <w:t>La recourante, partie plaignante, assistée d'un avocat, n'ayant ni chiffré ni a fortiori justifié l'indemnité requise pour ses frais de procédure, il n'y a pas lieu d'entrer en matière (art. 433 al. 2 cum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