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P/7287/2019 vom 29. Oktober 2021</w:t>
      </w:r>
    </w:p>
    <w:p>
      <w:r>
        <w:t>GE Cour de justice, 2021-10-29, FR</w:t>
      </w:r>
    </w:p>
    <w:p>
      <w:r>
        <w:rPr>
          <w:b/>
        </w:rPr>
        <w:t xml:space="preserve">Quelle: </w:t>
      </w:r>
      <w:r>
        <w:t>https://mcp.opencaselaw.ch/entscheid/ge_gerichte_P_7287_2019</w:t>
      </w:r>
    </w:p>
    <w:p>
      <w:r>
        <w:t>FR: GE_GERICHTE P/7287/2019 du 29 octobre 2021</w:t>
      </w:r>
    </w:p>
    <w:p>
      <w:r>
        <w:t>IT: GE_GERICHTE P/7287/2019 del 29 ottobre 2021</w:t>
      </w:r>
    </w:p>
    <w:p>
      <w:pPr>
        <w:pStyle w:val="Heading2"/>
      </w:pPr>
      <w:r>
        <w:t>Regeste</w:t>
      </w:r>
    </w:p>
    <w:p>
      <w:r>
        <w:t>OBTENTION ILLICITE DE PRESTATIONS D'UNE ASSURANCE SOCIALE | CPP.310; CP.146; CP.148.ala</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caisse, constituée partie plaignante, qui a qualité pour recourir contre la décision querellée (art. 104 al. 2 CPP, 25 de la loi fédérale sur les allocations pour perte de gain, LAPG, RS 834.1 et 90 de la loi fédérale sur l'assurance-vieillesse et survivants, LAVS, RS 831.10). ![endif]&gt;![if&gt;</w:t>
      </w:r>
    </w:p>
    <w:p>
      <w:r>
        <w:rPr>
          <w:b/>
        </w:rPr>
        <w:t>E. 2</w:t>
      </w:r>
    </w:p>
    <w:p>
      <w:r>
        <w:t>La recourante invoque une violation du principe de célérité. Elle fait aussi grief au Ministère public d'avoir rendu une ordonnance de non-entrée en matière en lieu et place d'une ordonnance de classement, violant ainsi l'art. 318 CPP et son droit d'être entendu. ![endif]&gt;![if&gt;</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143 IV 373 consid. 1.3.1 p. 377). Le caractère approprié de ce délai s'apprécie selon les circonstances particulières de la cause, eu égard notamment à la complexité de l'affaire, à l'enjeu du litige pour l'intéressé, à son comportement ainsi qu'à celui des autorités compétentes (ATF 135 I 265 consid. 4.4 p. 277).</w:t>
      </w:r>
    </w:p>
    <w:p>
      <w:r>
        <w:rPr>
          <w:b/>
        </w:rPr>
        <w:t>E. 2.2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signifie essentiellement, dans ce contexte, que le ministère public doit veiller au principe de célérité (N. SCHMID / D. JOSITSCH, Schweizerische Strafprozessordnung : Praxiskommentar , 3 e éd., Zurich 2018, n. 8 ad art. 309).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Si le ministère public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 Le ministère public ne peut, en revanche, ordonner des mesures de contrainte sans ouvrir une instruction (arrêt du Tribunal fédéral 6B_431/2013 du 8 décembre 2013 consid. 2.2 et 1B_368/2012 précité). Les mesures de contrainte sont des actes de procédure des autorités pénales qui portent atteinte aux droits fondamentaux des personnes intéressées (art. 196 al. 1 CPP). L'ordre de dépôt permet à son destinataire de fournir volontairement les objets ou valeurs requis, sans recourir à des mesures de contrainte. Cette disposition a ainsi pour unique but d'amener le détenteur d'objets ou de valeurs patrimoniales qui doivent être séquestrés à les déposer afin d'éviter cette mesure de contrainte (art. 265 al. 4 CPP; ATF 143 IV 21 consid. 3.1; arrêts du Tribunal fédéral 1B_492/2017 du 25 avril 2018 consid. 2.1; 6B_247/2017 du 21 mars 2018 consid. 3.1).</w:t>
      </w:r>
    </w:p>
    <w:p>
      <w:r>
        <w:rPr>
          <w:b/>
        </w:rPr>
        <w:t>E. 2.3</w:t>
      </w:r>
    </w:p>
    <w:p>
      <w:r>
        <w:t>En l'espèce, le fait que l’ordonnance querellée ait été rendue plus de deux ans après le dépôt de la plainte n’est pas, à lui seul, constitutif d'une violation du principe de célérité. La notion d'immédiateté ne signifie, en effet, pas que le refus d'entrer en matière doit être prononcé à réception de la plainte pénale. Après réception de la plainte, le Ministère public a transmis le dossier à la police afin qu'elle procède aux auditions des personnes impliquées et qu'elle établisse un rapport. Par la suite, le Ministère public a sollicité, par ordre de dépôt, des informations de l'OCE. Il a enfin sollicité la production de documents par C______. Ainsi, prise dans sa globalité, la procédure ne paraît pas avoir connu de temps morts inadmissibles sous l'angle de l'art. 5 CPP. En outre, à teneur de la jurisprudence précitée, l'ordre de dépôt délivré par le Ministère public n'impliquait pas l'ouverture d'une instruction au sens de l'art. 309 al. 1 CPP. Enfin, la procédure n'ayant, en l'état, pas dépassé la phase des premières investigations, le Ministère public était dispensé d'entendre la recourante avant de prononcer sa décision querellée. En tout état, la recourante a pu faire valoir devant la Chambre de céans les arguments qu'elle estimait pertinents, de sorte que son droit d'être entendue a été pleinement respecté. Ces griefs seront donc rejetés.</w:t>
      </w:r>
    </w:p>
    <w:p>
      <w:r>
        <w:rPr>
          <w:b/>
        </w:rPr>
        <w:t>E. 3</w:t>
      </w:r>
    </w:p>
    <w:p>
      <w:r>
        <w:t>La recourante reproche au Ministère public de ne pas être entré en matière sur sa plainte du 28 mars 2019.![endif]&gt;![if&gt;</w:t>
      </w:r>
    </w:p>
    <w:p>
      <w:r>
        <w:rPr>
          <w:b/>
        </w:rPr>
        <w:t>E. 3.1</w:t>
      </w:r>
    </w:p>
    <w:p>
      <w:r>
        <w:t>L'art. 310 al. 1 let. a CPP doit être appliqué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3.2.1. L'art. 251 ch. 1 CP réprime le comportement de celui qui, dans le dessein de porter atteinte aux intérêts pécuniaires ou aux droits d'autrui, ou de se procurer ou de procurer à un tiers un avantage illicite, aura, notamment, constaté ou fait constater faussement, dans un titre, un fait ayant une portée juridique, ou aura, pour tromper autrui, fait usage d'un tel titre. La notion de titre selon l'art. 251 CP correspond à celle de l'art. 110 ch. 4 CP. Selon cette disposition, sont des titres tous les écrits destinés et propres à prouver un fait ayant une portée juridique et tous les signes destinés à prouver un tel fait. Cette disposition vise tant le faux matériel que le faux intellectuel. Il y a faux matériel lorsque l'auteur réel du document ne correspond pas à l'auteur apparent (ATF 142 IV 119 consid. 2.1; 138 IV 130 consid. 2.1). 3.2.2 . 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 3.2.3. 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Le seul fait que l'expérience montre que certains écrits jouissent d'une crédibilité particulière ne suffit pas, même si dans la pratique des affaires il est admis que l'on se fie à de tels documents (ATF 142 IV 119 consid. 2.1 p. 121 et les arrêts cités).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ou celle d'un tiers (arrêt du Tribunal fédéral 6B_651/2011 du 20 février 2012 consid. 4.5). Son illicéité peut résulter de la loi, du but poursuivi ou du moyen utilisé. Elle peut donc être déduite du seul fait que l'auteur recourt à un faux (arrêts du Tribunal fédéral 6B_441/2016 du 29 mars 2017 consid. 6.2 et 6B_367/2007 du 10 octobre 2007 consid. 4.4 non publié in ATF 133 IV 303 ). Sur le plan subjectif, le faux dans les titres est une infraction intentionnelle. L'intention doit porter sur tous les éléments constitutifs. Le dol éventuel suffit (ATF 141 IV 369 consid. 7.4). 3.2.4. En principe, un décompte mensuel de salaire établi par son auteur apparent, mais dont le contenu ne correspond pas à la réalité, ne peut constituer un faux intellectuel dans les titres (art. 251 CP), les fiches de ce type n'étant dotées d'aucune valeur probante accrue (arrêt du Tribunal fédéral 6B_473/2016 du 22 juin 2017 consid. 4.1 et 4.2.1 et les références citées). En revanche, lorsque l'auteur réel de cette fiche ne correspond pas à l'auteur apparent (arrêt du Tribunal fédéral 6B_473/2016 précité) ou que le prévenu modifie (L. MOREILLON/A. PAREIN-REYMOND, Petit commentaire du Code de procédure pénale , 2 ème éd. 2016, n. 22 ad art. 251) le décompte de salaire établi par l'auteur réel, on se trouve en présence d'un faux matériel (art. 251 CP), pour lequel la question de la valeur probante accrue ne se pose pas (arrêt du Tribunal fédéral 6B_473/2016 précité).</w:t>
      </w:r>
    </w:p>
    <w:p>
      <w:r>
        <w:rPr>
          <w:b/>
        </w:rPr>
        <w:t>E. 3.3</w:t>
      </w:r>
    </w:p>
    <w:p>
      <w:r>
        <w:t>En matière d'obtention illicite de l’aide sociale, il existe trois niveaux d’infractions. Les infractions mineures sont sanctionnées par le droit pénal cantonal en matière d’aide sociale et par le droit fédéral régissant les assurances sociales. Lorsque l’auteur a induit autrui en erreur ou l'a conforté dans son erreur il convient d'appliquer l’art. 148a CP. Enfin, s’il trompe quelqu’un astucieusement, c’est l’escroquerie au sens de l’art. 146 CP qui sera réalisée (cf. Message du Conseil fédéral concernant une modification du code pénal et du code pénal militaire [Mise en œuvre de l'art. 121, al. 3 à 6, Cst. relatif au renvoi des étrangers criminels] du 26 juin 2013, FF 2013, p. 5435 [Message du Conseil fédéral du 26 juin 2013]).</w:t>
      </w:r>
    </w:p>
    <w:p>
      <w:r>
        <w:rPr>
          <w:b/>
        </w:rPr>
        <w:t>E. 3.4</w:t>
      </w:r>
    </w:p>
    <w:p>
      <w:r>
        <w:t>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3.5</w:t>
      </w:r>
    </w:p>
    <w:p>
      <w:r>
        <w:t>L'art. 148a CP, entré en vigueur le 1er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(al. 1). Dans les cas de peu de gravité, la peine est l'amende (al. 2). L'art.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oeuvre de l'art. 121, al. 3 à 6, Cst. relatif au renvoi des étrangers criminels] du 26 juin 2013, FF 2013 5'432ss [Message du Conseil fédéral du 26 juin 2013]).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du 26 juin 2013, p. 5433). 3.6.1. Au terme de l'art. 16b LAPG, ont droit à l'allocation [de maternité] les femmes qui ont été assurées obligatoirement au sens de la LAVS durant les neuf mois précédant l'accouchement (let. a) qui ont, au cours de cette période, exercé une activité lucrative durant cinq mois (let. b), et à la date de l'accouchement, sont salariées au sens de l'art. 10 LPGA (ch. 1), exercent une activité indépendante au sens de l'art. 12 LPGA (ch. 2), ou travaillent dans l'entreprise de leur mari contre un salaire en espèce (ch. 3). La durée d'assurance prévue à l'al. 1, let. a, est réduite en conséquence si l'accouchement intervient avant la fin du 9 e mois de grossesse (al. 2) 3.6.2. L'art. 87 LAVS punit de 180 jours-amende au plus, à moins qu'il ne s'agisse d'un crime ou d'un délit frappé d'une peine plus lourde, celui qui, par des indications fausses ou incomplètes, ou de toute autre manière, aura obtenu, pour lui-même ou pour autrui, sur la base de la présente loi, une prestation qui ne lui revient pas. Les dispositions prévues aux art. 87 à 91 LAVS sont applicables aux personnes qui violent les dispositions de la LAPG d'une manière qualifiée dans les articles précités (art. 25 LAPG).</w:t>
      </w:r>
    </w:p>
    <w:p>
      <w:r>
        <w:rPr>
          <w:b/>
        </w:rPr>
        <w:t>E. 3.7</w:t>
      </w:r>
    </w:p>
    <w:p>
      <w:r>
        <w:t>En l'espèce, la recourante reproche à la prévenue, dès lors qu'elle ne remplissait pas les conditions visant à l'octroi d'allocations de maternité, d'avoir tenté de percevoir celles-ci indûment par la production de faux documents, qu'elle-même ou son époux auraient établis à cette fin. Tout d'abord, force est de constater qu'à ce stade, la situation professionnelle de la prévenue n'est pas claire. La prévenue et son époux ont expliqué que celle-ci avait travaillé pour " D______ " depuis plusieurs années, sans toutefois faire de différence quant à la dénomination des entreprises. À l'appui de ses déclarations, la prévenue a produit ses relevés de compte, dont il ressort qu'elle a perçu, à tout le moins, de mars 2015 à décembre 2016, des versements provenant tantôt de D______ SÀRL, tantôt de D______ SA. Or, contrairement à ces déclarations et aux pièces produites, il ressort de la demande d'allocation de maternité que la prévenue travaillait pour D______ SÀRL depuis le 2 janvier 2017 alors qu'il ressort tant de la fiche d'engagement que du certificat de travail établi par ladite société ( cf. B.j.b. ) que la prévenue y avait été embauchée le 1 er février suivant. En outre, la prévenue a produit deux attestations de fiduciaires, faisant état de versements en espèces en janvier 2017, puis de février 2017 à mars 2018, et ce alors que lesdites sociétés avaient déjà été radiées du Registre du commerce lors de l'établissement de ces documents et que la prévenue a connu des interruptions de travail durant les périodes mentionnées. En outre, il apparait que lesdites fiduciaires ont eu leur siège aux mêmes adresses que D______ SÀRL et D______ SA et que le prévenu a aussi été administrateur de l'une d'elle. Enfin, rien n'explique que la caisse ait reçu la demande d'allocation maternité de la prévenue de la part d'une société qui n'était pas enregistrée auprès du Registre du commerce au moment du dépôt de ladite demande ni la raison pour laquelle la fiche de salaire relative au mois de juin 2017, annexée à ladite demande, ne correspondait ni à la fiche établie par la caisse, ni à la situation de la prévenue. Ainsi, contrairement à ce qu'a retenu le Ministère public, l'on ne saurait considérer, à ce stade, que la prévenue a démontré qu'elle remplissait les conditions pour l'octroi des allocations de maternité de sorte qu'elle n'avait pas d'intérêt à produire un faux. En effet, compte tenu des éléments contradictoires figurant à la procédure, le Ministère public devait, à tout le moins, établir la période durant laquelle la prévenue avait exercé une activité au sein des sociétés administrées par son époux. En outre, dès lors que les attestations produites concernaient la période pertinente pour le calcul du droit de la prévenue au versement des allocations de maternité, il devait en examiner l'authenticité et la conformité avec la réalité.</w:t>
      </w:r>
    </w:p>
    <w:p>
      <w:r>
        <w:rPr>
          <w:b/>
        </w:rPr>
        <w:t>E. 4</w:t>
      </w:r>
    </w:p>
    <w:p>
      <w:r>
        <w:t>Fondé, le recours doit être admis ; partant, l'ordonnance querellée sera annulée et la cause retournée au Ministère public pour qu'il ouvre une instruction. Il lui appartiendra de déterminer si la prévenue a effectivement exercé une activité lucrative au sein de la société administrée par son époux, en particulier durant la période utile à l'ouverture de son droit au versement des allocations familiales, ainsi que la conformité des attestations produites quant à la situation alléguée. ![endif]&gt;![if&gt;</w:t>
      </w:r>
    </w:p>
    <w:p>
      <w:r>
        <w:rPr>
          <w:b/>
        </w:rPr>
        <w:t>E. 5</w:t>
      </w:r>
    </w:p>
    <w:p>
      <w:r>
        <w:t>La recourante obtient gain de cause de sorte que les frais afférents au recours seront laissés à la charge de l'État (art. 428 al. 4 CPP). ![endif]&gt;![if&gt;</w:t>
      </w:r>
    </w:p>
    <w:p>
      <w:r>
        <w:rPr>
          <w:b/>
        </w:rPr>
        <w:t>E. 6</w:t>
      </w:r>
    </w:p>
    <w:p>
      <w:r>
        <w:t>Bien que représentée par un avocat, la recourante n'a pas chiffré ni justifié de prétentions en indemnité au sens de l'art. 433 al. 2 CPP, applicable en instance de recours (art. 436 al. 1 CPP), de sorte qu'il ne lui en sera point alloué (arrêt du Tribunal fédéral 6B_1345/2016 du 30 novembre 2017 consid. 7.2).![endif]&gt;![if&gt;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