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P/7252/2019 vom 12. September 2023</w:t>
      </w:r>
    </w:p>
    <w:p>
      <w:r>
        <w:t>GE Cour de justice, 2023-09-12, FR</w:t>
      </w:r>
    </w:p>
    <w:p>
      <w:r>
        <w:rPr>
          <w:b/>
        </w:rPr>
        <w:t xml:space="preserve">Quelle: </w:t>
      </w:r>
      <w:r>
        <w:t>https://mcp.opencaselaw.ch/entscheid/ge_gerichte_P_7252_2019</w:t>
      </w:r>
    </w:p>
    <w:p>
      <w:r>
        <w:t>FR: GE_GERICHTE P/7252/2019 du 12 septembre 2023</w:t>
      </w:r>
    </w:p>
    <w:p>
      <w:r>
        <w:t>IT: GE_GERICHTE P/7252/2019 del 12 settembre 2023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Aux termes de l'art. 66 CPP la procédure devant les autorités pénales est orale, à moins que le CPP ne prévoie la forme écrite. 2.1.2. L'art. 143 al. 6 CPP dispose que le comparant fait ses déclarations de mémoire. Toutefois, avec l'accord de la direction de la procédure, il peut déposer sur la base de documents écrits; ceux-ci sont versés au dossier à la fin de l'audition. Le principe posé par cette disposition est que la personne entendue doit faire ses déclarations sur la base de sa seule mémoire. Les documents écrits peuvent servir, avec l'accord de la direction de la procédure, d'aide lorsque la personne est interrogée par exemple sur des dates, des chiffres, des détails techniques, des questions de comptabilité, etc.. L'application de cette disposition ne doit toutefois pas permettre à une personne de présenter sa déclaration sur la base d'une note écrite à l'avance, le cas échéant avec l'aide d'un tiers, à la manière d'une plaidoirie (HÄRING, in Basler Kommentar, Schweizerische Strafprozessordnung, 2 e éd. 2014, no 42 ad art. 143 ; GODENZI, in Kommentar zur Schweizerischen Strafprozessordnung, DONATSCH/ HANSJAKOB/LIBER [éd.], 2 e éd. 2014, n° 37 ad art. 143 ; N. SCHMID, Schweizerische Strafprozessordnung, Praxiskommentar, 2 e éd. 2013, n° 15 ad art. 143 ; le même, Handbuch des schweizerischen Strafprozessrechts, 2 e éd. 2013, n° 813). 2.1.3. En application de l'art. 145 CPP, l'autorité pénale peut, en lieu et place d'une audition ou en complément de celle-ci, inviter le comparant à lui présenter un rapport écrit sur ses constatations. Selon la jurisprudence, cette disposition doit être appliquée avec retenue et reste une exception, en particulier à l'égard du prévenu dès lors qu'il est important pour l'autorité de pouvoir constater l'impression qui se dégage de sa personne. L'interrogatoire oral est la règle et la présentation de rapports écrits ne doit pas entraîner une restriction des droits de partie, en particulier au regard de son droit de participer à l'administration des preuves (art. 147 CPP ; arrêt 6B_835/2014 du 8 décembre 2014 consid. 2.2 et les références citées). Comme toute preuve versée au dossier, le rapport écrit est soumis, en application de l'art. 10 al. 2 CPP, à la libre appréciation de l'autorité (arrêt du Tribunal fédéral 6S.554/2006 du 15 mars 20006 consid. 7). 2.1.4. Quant à l'art. 341 al. 3 CPP, qui figure au chapitre concernant les débats de première instance, il prévoit qu'au début de la procédure probatoire, la direction de la procédure interroge le prévenu de façon détaillée sur sa personne, sur l'accusation et sur les résultats de la procédure préliminaire. Cet interrogatoire doit permettre au tribunal de se faire une impression personnelle et directe concernant le prévenu et de permettre à celui-ci de faire connaître sa position quant aux accusations (HAURI/VENETZ in Basler Kommentar, Schweizerische Strafprozessordnung, 2 e éd. 2014, no 14 ad art. 341 ; cf. arrêt 6B_492/2012 du 22 février 2013 consid. 2.4.1). Il permet également aux autres parties de faire poser des questions et d'exercer de la sorte leur droit d'être entendu (art. 341 al. 2 CPP). 2.1.2. En vue des débats de seconde instance, l'appelant a déposé un mémoire écrit, accompagné de plusieurs pièces. Bien que devant les autorités pénales la procédure se déroule principalement de manière orale et que le CPP ne prévoit pas expressément le droit, pour les parties, de déposer un mémoire écrit en vue des débats, il ne l'exclut pas non plus. Le CPP réserve par ailleurs expressément la possibilité à l'autorité pénale de procéder par écrit dans certains cas, pour autant que le droit d'être entendu des parties soit respecté, ce qui a été le cas en l'espèce. En effet, l'appelant a adressé à la CPAR, plusieurs jours avant les débats d'appel, son mémoire muni de pièces, dont il a dans le même temps transmis un exemplaire à l'intimée, de sorte que celle-ci a eu le loisir d'en prendre connaissance avant l'audience. Dans cette mesure, il n'y avait pas matière à écarter cet écrit de la procédure, d'autant moins que lors des débats d'appel, de sorte que son mémoire ne s'est pas substitué à son propre témoignage. L'intimée a eu la possibilité de l'interroger à ce sujet et de se déterminer par rapport à celui-ci, si bien que son droit d'être entendu a également été respecté. Dans cette mesure, force est de conclure à la recevabilité du mémoire de l'appelant, avec les précisions que ce type de procédé doit demeurer l'exception et que la valeur probante dudit document se limite à celle du simple allégué d'une partie. 2.2.1.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2.2.2. Les personnes dont l'audition a été sollicitée n'ont pas été directement témoins des faits reprochés à l'appelant. Elles n'ont travaillé ni avec ce dernier, ni avec F______, de sorte que leur audition n'apparaît ni utile ni pertinente sous l'angle des faits cités dans l'acte d'accusation, dont l'état de fait lie la CPAR et délimite le cadre des débats. L'appelant ne le conteste au demeurant pas puisqu'il invoque la nécessité de leur audition en lien avec les conditions dans lesquelles il a été mis un terme à leurs rapports de travail avec l'intimée, pour en tirer des conclusions sur celles qui ont prévalu la fin de ses propres rapports de travail, aspects qui ressortent du litige prud'homal et non de la procédure pénale. Pour ces motifs, cette question préjudicielle a été rejetée.</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Confronté à des versions contradictoires, le juge forge sa conviction sur la base d'un ensemble d'éléments ou d'indices convergents. L'appréciation des preuves doit être examinée dans son ensemble et l'état de fait déduit du rapprochement de divers éléments ou indices (arrêt du Tribunal fédéral 6B_623/2012 du 6 février 2013 consid. 2.1). 3.1.2.1. L'art. 156 CP punit celui qui, dans le dessein de se procurer ou de procurer à un tiers un enrichissement illégitime, aura déterminé une personne à des actes préjudiciables à ses intérêts pécuniaires ou à ceux d'un tiers, en usant de violence ou en la menaçant d'un dommage sérieux. 3.1.2.2. La menace d'un dommage sérieux est un moyen de pression psychologique. L'auteur doit faire craindre à la victime un inconvénient, dont l'arrivée paraît dépendre de sa volonté (ATF 122 IV 322 consid. 1a). Il importe peu qu'en réalité l'auteur ne puisse pas influencer la survenance de l'événement préjudiciable (ATF 106 IV 125 consid. 1a) ou qu'il n'ait pas l'intention de mettre sa menace à exécution (ATF 122 IV 322 consid. 1a). La menace peut être expresse ou tacite et être signifiée par n'importe quel moyen. Le dommage évoqué peut toucher n'importe quel intérêt juridiquement protégé (arrêt du Tribunal fédéral 6S.277/2003 du 23 septembre 2003 consid. 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 arrêt du Tribunal fédéral 6B_275/2016 du 9 décembre 2016 consid. 4.2.1). 3.1.2.3. L'extorsion suppose un lien de causalité entre ces divers éléments. Autrement dit, l'usage de la contrainte doit avoir été la cause de l'acte préjudiciable aux intérêts pécuniaires, lequel doit être la cause du dommage (arrêt du Tribunal fédéral 6B_275/2016 du 9 décembre 2016 consid. 4.2.4). 3.1.2.4. Sur le plan subjectif, il faut que l'auteur ait agi intentionnellement, le dol éventuel étant suffisant, et dans le dessein de se procurer ou de procurer à un tiers un enrichissement illégitime (arrêt du Tribunal fédéral 6B_275/2016 du 9 décembre 2016 consid. 4.2.5). 3.1.3. Le juge peut atténuer la peine si l'exécution d'un crime ou d'un délit n'est pas poursuivie jusqu'à son terme ou que le résultat nécessaire à la consommation de l'infraction ne se produit pas ou ne pouvait pas se produire (art. 22 al. 1 CP). 3.1.4.1. Aux termes de l'art. 173 CP,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(ch. 1) ; l'inculpé n'encourra aucune peine s'il prouve que les allégations qu'il a articulées ou propagées sont conformes à la vérité ou qu'il avait des raisons sérieuses de les tenir de bonne foi pour vraies (ch. 2) ;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3.1.4.2.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154 IV 462 consid. 4.2 ; 137 IV 313 consid. 2.1.1 ;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119 IV 44 consid. 2a ;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 145 IV 462 consid. 4.2.2 ; arrêt du Tribunal fédéral 6B_15/2021 du 12 novembre 2021 consid. 2.1.2). La diffamation s'insère parmi les infractions contre l'honneur dont jouit non seulement toute personne physique, mais toute personne morale ou entité capable d'ester en justice, à l'exception des collectivités publiques et des autorités (ATF 114 IV 14 consid. 2a). Une personne morale est atteinte dans son honneur, lorsqu'il est allégué qu'elle a une activité ou un but propre à la rendre méprisable selon les conceptions morales généralement admises (cf. par analogie : ATF 117 IV 27 consid. 2c ; 116 IV 205 consid. 2). Une personne morale est également atteinte dans son honneur lorsqu'on la dénigre elle-même, en évoquant le comportement méprisable de ses organes ou employés (arrêt du Tribunal fédéral 6B_1020/2018 du 1 er juillet 2019 consid. 5.1.1).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145 IV 462 consid. 4.2.3 ; 173 IV 313 consid. 2.1.3). Aussi, il est constant qu'en matière d'infractions contre l'honneur, les mêmes termes n'ont pas nécessairement la même portée suivant le contexte dans lequel ils sont employés (ATF 148 IV 409 consid. 2.3.2 ; 145 IV 462 consid. 4.2.3 ; 118 IV 248 consid. 2b).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arrêt du Tribunal fédéral 6B_479/2022 du 9 février 2023 consid. 5.1.1). 3.1.4.3. Du point de vue subjectif, il suffit que l'auteur ait eu conscience du caractère attentatoire à l'honneur de ses propos et qu'il les ait néanmoins proférés ; il n'est pas nécessaire qu'il ait eu la volonté de blesser la personne visée (ATF 137 IV 313 consid. 2.1.6 ; arrêt du Tribunal fédéral 6B_479/2022 précité consid. 5.1.1). 3.1.4.4. Les conditions énoncées à l'art. 173 ch. 3 CP doivent être interprétées de manière restrictive. En principe, le prévenu doit être admis à faire les preuves libératoires et ce n'est qu'exceptionnellement que cette possibilité doit lui être refusée.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 ATF 116 IV 31 consid. 3 ; arrêt du Tribunal fédéral 6B_25/2013 du 4 juin 2013 consid. 1.1.1). Selon la jurisprudence, celui qui a allégué la commission d'une infraction doit en principe apporter la preuve de la vérité par la condamnation pénale de la personne visée (ATF 116 IV 31 consid. 4 ; 106 IV 115 consid. 2c). Cette condamnation peut être postérieure à l'allégation incriminée (ATF 122 IV 311 consid. 2e). Une exception est admise si la poursuite de l'infraction alléguée n'est plus possible en raison de la prescription (ATF 109 IV 36 consid. 3b) ou si elle a été suspendue jusqu'à droit connu sur l'action en diffamation (ATF 132 IV 112 consid. 4.3). Cette jurisprudence est critiquée en doctrine (cf. ATF 132 IV 112 consid. 4.2). Mais il n'y a en tout cas pas lieu de s'en écarter lorsque l'auteur a articulé ou propagé ses accusations après un jugement d'acquittement ou après une ordonnance de non-lieu motivée par l'insuffisance des charges. L'acquittement et le non-lieu ne pourraient remplir entièrement leur fonction, qui est notamment de garantir le droit à la tranquillité de l'ancien prévenu, si leur bien-fondé pouvait être contesté à titre préjudiciel dans un procès pour atteinte à l'honneur. Il en va ainsi quand bien même l'auteur invoquerait des faits ou moyens de preuves pertinents et nouveaux. Il n'appartient en effet qu'à l'autorité qui a prononcé le non-lieu d'en réexaminer le bien-fondé, aux conditions prévues par la loi. Dès lors, aussi longtemps qu'elle n'a pas été révoquée, l'ordonnance de non-lieu pour insuffisance des charges fait obstacle à la preuve de la vérité dans un procès en diffamation (arrêt du Tribunal fédéral 6B_138/2008 du 22 janvier 2009 consid. 3.3.). En revanche, un jugement d'acquittement ou une ordonnance de non-lieu n'empêche pas l'auteur de tenter d'établir sa bonne foi (ATF 106 IV 115 consid. 2e ; 101 IV 292 consid. 5). 3.1.5.1 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3.1.5.2.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 arrêt du Tribunal fédéral 6B_498/2012 du 14 février 2013 consid. 5.1). La calomnie suppose une allégation de fait, et non un simple jugement de valeur, qui peut alors constituer une injure au sens de l'art. 177 CP (arrêt du Tribunal fédéral 6B_498/2012 du 14 février 2013 consid. 5.3.1).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6B_1100/2016 du 25 octobre 2017 consid. 3.4 ; 6B_1286/2016 du 15 août 2017 consid. 1.2). 3.1.5.3.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(ATF 136 IV 170 consid. 2.1 ; arrêts du Tribunal fédéral 6B_324/2015 du 18 janvier 2016 et 6B_498/2012 du 14 février 2013 consid. 5.1). Par ailleurs, cela suppose implicitement que le fait allégué fût objectivement faux. 3.2.1 Il doit être tenu pour établi que l'appelant a été formellement licencié le 29 mars 2019 par l'intimée et qu'il n'a pas démissionné de son propre chef le 1 er avril 2019 comme il l'affirme. À cet égard, et ainsi que l'ont rapporté de manière constante et concordante O______, G______ et F______, depuis le début de l'année 2019, pour des raisons économiques, l'intimée envisageait de se séparer de l'un de ses deux "portfolio manager" , le choix s'étant porté, après réflexion et analyse des prestations respectives des concernés, sur l'appelant, vu son comportement et son manque d'engagement professionnel. L'appelant le concède au demeurant, ayant rapporté l'existence, à cette période, de discussions relatives à son avenir au sein de l'intimée et de son possible remplacement par K______ aux fonctions de "portfolio manager" . Contrairement à ce qu'il soutient, l'appelant n'a pas donné entière satisfaction à son employeur jusqu'à son départ. S'il ressort de ses évaluations une note globalement plutôt positive, plusieurs critiques ont été régulièrement émises au fil des années sur la qualité de son travail, sans améliorations notables de sa part (tâches effectuées avec retard après plusieurs rappels), ses relations avec ses collègues de travail (défaut de communication), son attitude générale (manque de dynamisme et de proactivité), de même qu'en lien avec ses arrivées matinales tardives. Les certificats de travail intermédiaires (2017 et 2019), attestent également de la dégradation de ses prestations professionnelles. Ainsi, l'évaluation de son travail était passée de très satisfaisante à satisfaisante et ses contacts avec la hiérarchie ainsi que ses collègues de très bons à bons. Dans la mesure où ces certificats de travail ont tous deux été établis postérieurement à l'accession de F______ au poste de directeur de l'intimée, on ne saurait imputer cette dépréciation de la qualité du travail de l'appelant à la nature de leur relation, dont il est établi et admis, qu'elle était empreinte d'animosité. De même, on ne saurait expliquer leur contenu par une éventuelle inimitié entre O______ et l'appelant, tous deux n'ayant rapporté la survenance que d'un seul conflit entre eux, en 2015, soit bien avant la délivrance des certificats en question, respectivement le licenciement de l'appelant. Les mesures prises par l'intimée en amont de la réunion du 29 mars 2019 attestent que celle-ci avait pour objet le licenciement de l'appelant, qui devait intervenir à la fin du premier trimestre 2019, comme en ont témoigné G______ et O______. Preuve en est la préparation, deux jours avant ledit entretien, et la signature de la lettre de congé destinée à l'appelant. Parallèlement, l'intimée a contacté P______, responsable informatique, en vue de la suppression des accès de l'appelant, qui l'ont été pendant la réunion, ce qui a incité ce dernier à créer une nouvelle adresse de messagerie électronique presque similaire à celle de l'intimée, à des fins trompeuses. Le blocage des accès informatiques, tout comme l'exigence d'emporter ses effets personnels et de restituer les clés des locaux à l'issue de l'entretien du 29 mars 2019, constituent autant d'éléments attestant de la décision de l'intimée de libérer l'appelant de son obligation de travailler durant le délai de congé. Ce dernier n'est ainsi pas crédible lorsqu'il allègue que l'entretien du 29 mars 2019 n'avait pas pour objet la résiliation et de son contrat de travail et que le courrier y relatif ne lui a pas été remis à cette occasion. D'une part, il est établi qu'un tel courrier avait été préparé et signé par les représentants de l'intimée au préalable, comme déjà mentionné et, d'autre part, F______ a déclaré de manière constante que l'appelant avait emporté l'exemplaire lui étant destiné, sans le signer, en quittant les locaux de la société. Une telle description est d'autant plus plausible que par sa signature, l'appelant aurait accepté qu'il soit mis un terme aux rapports de travail aux conditions stipulées par l'intimée, en renonçant de facto au versement d'une indemnité. Il est à ce sujet établi que l'appelant a exigé le 29 mars 2019 le versement d'une indemnité, de CHF 150'000.- selon lui, voire de CHF 250'000.- aux dires de F______. Contrairement à ce qu'allègue l'appelant, il est manifeste que l'intimée n'a jamais eu l'intention de lui verser un quelconque montant à titre de bonus en sus des salaires dus contractuellement. Aucun élément au dossier, autre que ses déclarations, dont la teneur est contestée par l'intimée, n'atteste de la promesse du paiement d'une prime et de pourparlers entre les protagonistes dans ce sens. Aucune clause ne figure du reste à ce propos dans son contrat de travail et la lettre de congé, qui consigne les conditions de la fin des rapports de travail, ne le mentionne par davantage. En outre, comme en ont témoigné F______, G______ et O______, le versement d'une telle indemnité à l'appelant, en contradiction avec la pratique usuelle de l'intimée, n'a jamais été évoqué lors de la décision de le licencier. Le montant de ladite indemnité, non négociable selon ses propres termes, a de facto été fixé unilatéralement par l'appelant, qui a fourni des explications évolutives en cours de procédure pour justifier du chiffre de CHF 150'000.-. En effet, devant le MP, ce montant représentait une à deux années de salaire et correspondait à ce qui avait été versé, lors de la liquidation de la banque Q______, à des employés ayant comme lui cinq ans d'ancienneté. Devant le TP, il a expliqué que cette somme équivalait à six mois de salaire, augmentés d'un bonus pour l'année 2018 et d'une prime pour sa promotion. Enfin, dans le mémoire adressé à la CPAR, les CHF 150'000.- représentaient le rattrapage salarial inhérent à sa promotion en qualité de "portfolio manager" , augmenté cette fois d'une indemnité de départ et d'un bonus. Or, outre les erreurs manifestes de calculs (le salaire annuel de 166'000.- correspond à un salaire mensuel de CHF 13'833.33 versé 12 fois l'an et non de CHF 14'000.-, le rattrapage sur 15 mois soit de janvier 2018 à fin mars 2019 ne tenant pas compte du délai de congé à fin mai 2019), ceux de l'appelant se basent sur des chiffres arrêtés arbitrairement, pour les besoins de sa cause. Il a concédé en cours de procédure que la promotion, octroyée avec effet rétroactif au 1 er janvier 2018, ne comportait aucune augmentation de salaire, lequel était revu à la hausse chaque année. Si l'intimée envisageait effectivement de fixer à terme la rémunération de ses employés en fonction d'une grille salariale, celle-ci n'avait pas encore été adoptée lors de la résiliation du contrat de travail de l'appelant et aucun élément ne permet de retenir que le salaire annuel de référence d'un "portfolio manager" aurait été fixé à CHF 166'000.-. Le montant du bonus pour l'année 2018 a été arrêté tout aussi arbitrairement par l'appelant à CHF 10'000.- et ne correspond pas à celui versé à ses collègues. Pour contraindre l'intimée à lui verser le montant réclamé, l'appelant a menacé de la discréditer notamment auprès de ses clients, en divulguant des informations personnelles les concernant, alors que la plus stricte discrétion est de mise dans ce domaine. Il a menacé d'en faire de même auprès de la société qui envisageait de fusionner avec elle, ainsi que de faire fuiter des informations confidentielles, voire de dénoncer l'intimée auprès des autorités fiscales. À cet égard, les déclarations de F______ selon lesquelles tout en exigeant le paiement de CHF 250'000.- l'appelant avait exhibé des documents confidentiels de la société auxquels il n'aurait pas dû avoir accès, puis avait affirmé avoir, au cours des deux dernières années, copié sur un support externe des données de l'intimée, dont les fichiers clients, sous-entendant qu'il pourrait divulguer certaines informations s'il n'était pas donné suite à ses exigences, sont crédibles et corroborées par les éléments matériels au dossier, au nombre desquels figure en premier lieu le classeur, retrouvé dans l'armoire installée dans le bureau occupé par l'appelant, qui contenait des informations confidentielles comme l'a attesté O______. La clé USB envoyée par l'appelant à G______ en annexe à son courrier du 1 er avril 2019 démontre qu'il avait effectivement, en violation de ses obligations contractuelles, enregistré sur un support externe des informations relatives à la société, comme il l'a affirmé à F______. La mise en relation de l'absence de divulgation de certaines informations avec le paiement de l'indemnité réclamée est en outre avérée. À la police, l'appelant a en effet prétendu que F______ et G______ avaient décidé de lui verser une indemnité, sans passer par les comptes de la société, en lui précisant qu'eu égard à ses années de service, il avait eu accès à des données confidentielles. Devant le MP, il a indiqué que lorsque la discussion s'était envenimée suite au refus de F______ d'entrer en matière sur l'indemnité réclamée, il lui avait rappelé "ses agissements en sein de la société et ce qu'il avait mis en place" , propos dont il a expliqué aux débats d'appel qu'ils se rapportaient au mécanisme de tricherie à l'égard des clients, aux fausses performances et aux démarchages transfrontaliers. Il n'est par ailleurs pas douteux que l'appelant est bien l'auteur de la note comportant dix points remise à G______ lors de la rencontre du 9 avril 2019, à l'instar des trois contrats portant sur la vente de montres qu'il a reconnu avoir établis pour justifier le paiement de l'indemnité réclamée. On songera à cet égard que les démarches envisagées dans ladite note reprennent, pour partie, les griefs formulés par l'appelant à l'égard de l'intimée dans son courriel du 1 er avril 2019 à G______. Par ailleurs, les empreintes papillaires de l'appelant ont été retrouvées sur deux des trois contrats de vente, ainsi que sur le verso de la note litigieuse. Les explications qu'il a fournies ne résistent pas à la critique. On ne cerne en effet pas quel aurait été l'intérêt de l'intimée de procéder de la manière qu'il a décrite, étant précisé qu'à cette date, elle avait déjà mis un terme à ses rapports de travail avec l'appelant et déposé plainte pénale contre lui, de sorte que le recours au subterfuge reproché ne lui était d'aucune utilité. L'absence de traces papillaires de l'appelant sur l'enveloppe ayant contenu la note ne constitue pas non plus un élément à sa décharge, dans la mesure où ses empreintes digitales n'ont été retrouvées que sur deux des trois contrats de vente qu'il a admis avoir confectionnés et qu'il a partant nécessairement manipulés et transportés, à l'instar de l'enveloppe en question. Enfin, l'ultimatum au 16 avril 2019 fixé par l'appelant à G______ pour le paiement de l'indemnité réclamée va également dans le sens de pressions exercées afin de le contraindre à se plier à ses exigences financières. Ainsi, en menaçant, à dessein, l'intimée de divulguer des informations confidentielles et de procéder à des démarches afin de lui nuire, sur les plans économique et réputationnel, et susceptible d'occasionner un dommage à cette dernière, afin de la contraindre à payer, soit directement, soit par le biais des derniers de l'un de ses administrateurs et actionnaires, un montant de CHF 150'000.- qu'il savait ne pas lui être dû, l'appelant s'est rendu coupable d'extorsion et de chantage au sens de l'art. 156 ch. 1 CP, sous la forme de la tentative, l'intimée n'ayant pas cédé à la contrainte exercée. L'appel sera dès lors rejeté sur ce point et le jugement de première instance confirmé. 3.2.2. Il doit être tenu pour établi que l'appelant est bien l'auteur du courrier du 29 avril 2019 adressé à I______, en dépit de ses dénégations. Ce courrier, dont l'original ne figure pas au dossier, mais qui a été dûment photographié par G______ et montré à U______ comme tous deux l'ont confirmé, se présente sous la même forme que celui que l'appelant admet avoir adressé le 1 er avril 2019 à G______ à son adresse professionnelle en Belgique, étant précisé que cette lettre ne comportait pas non plus la signature manuscrite de l'appelant, de sorte qu'il ne saurait se prévaloir du défaut de signature comme élément à décharge. Peu importe également qu'à son souvenir, ce courrier était dûment signé selon I______, qui a, dans le même temps, indiqué recevoir de nombreux rapports, en particulier de l'appelant à l'époque où il était encore employé de l'intimée, de sorte que par automatisme, il a pu associer sa signature à son nom. Le contenu dudit courrier reprend, en substance, les arguments développés par l'appelant dans son courriel du 1 er avril 2019 à G______ et correspond aux accusations qu'il a régulièrement formulées en cours de procédure à l'égard de l'intimée, notamment en lien avec la transgression des règles transfrontalières en matière de démarchage de la clientèle. À cela s'ajoute que, d'un point de vue chronologique, ce courrier a été adressé à I______ après l'expiration de l'ultimatum fixé au 16 avril 2019 par l'appelant pour le versement de l'indemnité réclamée, et correspond à l'une de démarches auxquelles il envisageait de recourir en cas de défaut de paiement selon la note remise le 9 avril 2019 à G______. Enfin, la théorie d'une éventuelle connivence entre I______ et l'intimée pour mettre en cause l'appelant ne résiste pas à la critique. On ne voit en effet pas quel aurait été l'intérêt de I______ de procéder de la sorte en l'absence de litige l'opposant à l'appelant. Par ailleurs, s'il s'était agi d'un stratagème ourdi pour accuser l'appelant, on ne conçoit pas pour quelle raison I______ aurait montré le courrier litigieux à U______, ou encore décidé de résilier le mandat de gestion confié à l'intimée. Ce courrier, dont les allégations de fait ne se limitent pas à une critique des compétences des organes de l'intimée et du manque de rendement offert aux clients, est attentatoire à son honneur, en tant que l'appelant l'accuse d'adopter une politique de gestion favorisant les avoirs de ses actionnaires au détriment de ceux de sa clientèle et, partant, d'avoir un comportement constitutif de gestion déloyale. De même, l'appelant reproche à l'intimée de recourir à une politique commerciale agressive en violation des règles transfrontalières, soit en d'autres termes de favoriser et de se rendre complice d'évasion fiscale, comportement qui, s'il n'est pas pénalement punissable en Suisse, est en revanche un délit réprimé dans de nombreux pays européens. Contrairement à ce qu'a retenu le premier juge, dont le jugement est singulièrement lacunaire sur ce point, le comportement de l'appelant ne tombe pas sous le coup de l'infraction de calomnie, dès lors qu'il n'est pas établi qu'il connaissait la fausseté de ses allégations. Il ressort au contraire du dossier que l'appelant était persuadé d'avoir mis à jour des pratiques de l'intimée qu'il jugeait malhonnêtes et contraires aux intérêts de ses clients, quand bien même il a échoué à apporter la preuve de leur véracité, l'ordonnance de non-entrée en matière du MP du 16 décembre 2019 rendue dans la procédure P/2______/2019 en attestant. L'appelant n'a pas davantage apporté la preuve de sa bonne foi, étant précisé que les accusations proférées à l'encontre de l'intimée auprès de l'un de ses clients ne poursuivaient aucun motif suffisant d'ordre privé ou public et ni d'autres fins que de dire du mal de son ancien employeur pour ternir sa réputation, de sorte qu'il n'aurait de toute manière pas été admis à apporter les preuves libératoires. Il sera ainsi retenu que l'appelant a sciemment accusé l'intimée auprès de l'un de ses clients d'avoir adopté des comportements pénalement répréhensibles, soit une conduite contraire à l'honneur, et ce, à la seule fin de dire du mal à son égard, mettant ainsi ses menaces à exécution faute d'avoir obtenu le versement de l'indemnité réclamée. Partant, il sera reconnu coupable de diffamation au sens de l'art. 173 ch. 1 CP. L'appel est ainsi rejeté et le jugement de première instance sera réformé dans le sens de la requalification précitée.</w:t>
      </w:r>
    </w:p>
    <w:p>
      <w:r>
        <w:rPr>
          <w:b/>
        </w:rPr>
        <w:t>E. 4</w:t>
      </w:r>
    </w:p>
    <w:p>
      <w:r>
        <w:t>4.1.1. L'extorsion et chantage au sens de l'art. 156 ch. 1 CP est punissable d'une peine privative de liberté de cinq ans au plus ou d'une peine pécuniaire, tandis que la diffamation (art. 173 ch. 1 CP) est réprimée par une peine pécuniaire.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4.1</w:t>
      </w:r>
    </w:p>
    <w:p>
      <w:r>
        <w:t>.3. Les principes de l'art. 47 CP valent aussi pour le choix entre plusieurs sanctions possibles et non seulement pour la détermination de la durée de celle qui est prononcée. Que ce soit par son genre ou sa quotité, la peine doit être adaptée à la culpabilité de l'auteur.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rPr>
          <w:b/>
        </w:rPr>
        <w:t>E. 4.1.4</w:t>
      </w:r>
    </w:p>
    <w:p>
      <w:r>
        <w:t>La durée de la peine privative de liberté est en règle générale de trois jours au moins et de 20 ans au plus (art. 40 CP).</w:t>
      </w:r>
    </w:p>
    <w:p>
      <w:r>
        <w:rPr>
          <w:b/>
        </w:rPr>
        <w:t>E. 4.1.5</w:t>
      </w:r>
    </w:p>
    <w:p>
      <w:r>
        <w:t>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Selon l'art. 34 al. 2 2 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juge dispose d'un large pouvoir d'appréciation lui permettant de procéder à une estimation du montant du jour-amende en fonction des informations dont il dispose (arrêts du Tribunal fédéral 6B_133/2018 du 27 juillet 2018 consid. 3.1 ; 6B_568/2012 du 16 novembre 2012 consid. 2.1).</w:t>
      </w:r>
    </w:p>
    <w:p>
      <w:r>
        <w:rPr>
          <w:b/>
        </w:rPr>
        <w:t>E. 4.1.6</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 4.2.1. La faute de l'appelant est conséquente. En menaçant l'intimée d'un dommage sérieux, il a tenté de s'en prendre à son patrimoine et, faute d'être parvenu à ses fins, il a terni sa réputation auprès de l'un de ses plus importants clients, en jetant sur elle le soupçon d'adopter des comportements pénalement répréhensibles, accusations qui ont pour partie conduit l'intéressé à résilier le mandat de gestion qu'il lui avait confié. Si la période pénale est relativement brève, force est de constater, à l'aune des documents produits par l'appelant, auxquels il n'aurait pas dû avoir accès, qu'il s'agissait d'une stratégie mise en place depuis plusieurs mois déjà. Sa faute en est d'autant plus importante. Il y a cumul d'infractions punissables de peines de genre différent. L'appelant a agi pour des mobiles égoïstes, par appât d'un gain facile, mais aussi sans doute pour se faire justice par rapport à ce qu'il considérait comme injuste, soit son remplacement par K______ et l'absence de reconnaissance de ses qualités professionnelles. Rien dans la situation personnelle de l'appelant n'explique ni ne justifie son comportement et il lui aurait été loisible d'agir autrement. La collaboration de l'appelant a été plutôt bonne, dès lors qu'il s'est expliqué longuement sur les faits reprochés. En revanche, sa prise de conscience de la gravité de ses agissements est nulle. Il persiste à contester toute responsabilité pénale, à accuser l'intimée de comportements contraires au droit et n'a présenté aucune excuse. Le prévenu est sans antécédent, facteur neutre dans la fixation de la peine. Il sera toutefois tenu compte de ce que l'infraction la plus grave, soit celle d'extorsion et de chantage, en est restée au stade de la tentative, même si l'absence de résultat est exclusivement dû à l'attitude de l'intimée, qui n'a pas cédé aux pressions de l'appelant, et est donc indépendant du comportement de ce dernier. 4.2.2. Vu ce qui précède, l'appelant sera condamné à une peine privative de liberté de sept mois s'agissant de la tentative d'extorsion, étant précisé qu'une peine privative de liberté de 10 mois aurait été adéquate si l'infraction avait été consommée. La diffamation sera sanctionnée d'une peine pécuniaire de 30 jours-amende, qui apparaît proportionnée à la faute de l'appelant, s'agissant d'un acte unique. L'appelant n'a pas souhaité communiqué le montant de son salaire actuel. Il est permis de penser qu'au vu du profil de la société qui l'emploie, il réalise un revenu sensiblement identique à celui qui était le sien au sein de l'intimée. Son épouse travaille également à plein temps. Ils sont propriétaires du logement qu'ils occupent, grevé d'une lourde hypothèque, et ont deux enfants mineurs à charge. Au vu de ces éléments, il sied de fixer le montant du jour-amende à CHF 150.-. 4.2.3. Le premier juge a omis d'imputer sur la peine la détention avant jugement subie, d'un jour, ce qu'il convient de rectifier. Il n'y a en revanche pas lieu de procéder à une imputation, dans une juste proportion, des mesures de substitution, celles-ci n'ayant porté qu'une atteinte très modérée à la liberté personnelle de l'appelant. 4.2.4. L'appelant n'a aucun antécédent judiciaire et le principe du sursis lui est acquis.</w:t>
      </w:r>
    </w:p>
    <w:p>
      <w:r>
        <w:rPr>
          <w:b/>
        </w:rPr>
        <w:t>E. 5</w:t>
      </w:r>
    </w:p>
    <w:p>
      <w:r>
        <w:t>Les mesures de confiscation, respectivement de restitution, ainsi que le renvoi de l'intimée à agir par la voie civile n'ayant pas été remis en cause en appel, le jugement de première instance sera confirmé sur ces points.</w:t>
      </w:r>
    </w:p>
    <w:p>
      <w:r>
        <w:rPr>
          <w:b/>
        </w:rPr>
        <w:t>E. 6</w:t>
      </w:r>
    </w:p>
    <w:p>
      <w:r>
        <w:t>3. Compte tenu de ce qui précède, il n'y a pas lieu à l'octroi d'une quelconque indemnité fondée sur l'art. 429 CPP.</w:t>
      </w:r>
    </w:p>
    <w:p>
      <w:r>
        <w:rPr>
          <w:b/>
        </w:rPr>
        <w:t>E. 6.2</w:t>
      </w:r>
    </w:p>
    <w:p>
      <w:r>
        <w:t>La répartition des frais de première instance, telle qu'elle résulte du jugement entrepris, ne sera pas modifiée au vu de la confirmation de la culpabilité du prévenu, le changement de qualification juridique étant sans incidence à cet égard vu l'accusation subsidiaire contenue dans l'acte d'accusation (art. 428 al. 3 CPP).</w:t>
      </w:r>
    </w:p>
    <w:p>
      <w:r>
        <w:rPr>
          <w:b/>
        </w:rPr>
        <w:t>E. 7</w:t>
      </w:r>
    </w:p>
    <w:p>
      <w:r>
        <w:t>7.1.1. 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 doit être mise à la charge du prévenu, non de l'État ( AARP/291/2021 du 13 septembre 2021 consid. 8.1.3). La partie plaignante a obtenu gain de cause au sens de cette norme lorsque le prévenu a été condamné et/ou si les prétentions civiles ont été admises, à tout le moins partiellement ( AARP/180/2021 du 29 juin 2021 consid. 8.8.1). 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 10 novembre 2017 consid. 3.2). 7.1.2. La juste indemnité couvre les dépenses et les frais nécessaires pour faire valoir le point de vue de la partie plaignante dans la procédure pénale.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 e éd., Bâle 2014, N 19 ad art. 429). L'indemnité couvre en particulier les honoraires d'avocat, à condition que le recours à celui-ci procède d'un exercice raisonnable des droits de procédure.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À la lumière de ces principes, il y a lieu de retenir que l'autorité pénale amenée à fixer une indemnité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La maxime de disposition s'applique s'agissant de sommes incombant au prévenu en vertu de l'art. 433 CPP, l'autorité pénale n'ayant pas à les examiner d'office (arrêt du Tribunal fédéral 6B_965/2013 du 3 décembre 2013 consid. 3.3.3 ; arrêt de la Cour de justice AARP/291/2021 du 13 septembre 2021 consid. 8.1.3). 7.2.1. En l'occurrence, le principe de la couverture des dépenses de la plaignante pour ses frais de défense dans la procédure d'appel est acquis et le tarif horaire appliqué, de CHF 450.-, est adéquat. Cela étant, le temps consacré à la préparation des débats d'appel, totalisant 13h30, apparaît excessif s'agissant d'un dossier connu et sensé être maîtrisé par le conseil de l'intimée, pour avoir été suivi devant le MP et plaidé en première instance. Il y a ainsi lieu de réduire ce poste à cinq heures d'activité. À l'inverse, l'audience de jugement ayant duré quatre heures et 35 minutes, et non trois heures comme estimé par le conseil de l'intimée, il y a lieu d'augmenter son activité d'une heure et 35 minutes. Quant aux CHF 400.- de frais administratifs, ils ne sont pas justifiés par pièces et semblent correspondre à un forfait général, de sorte qu'il n'y a pas lieu de les indemniser. L'indemnisation accordée à la plaignante pour ses frais de défense dans la procédure d'appel sera dès lors arrêtée en totalité à CHF 16'031.70, correspondant à 33 heures et 5 minutes d'activité au tarif horaire de CHF 450.- (CHF 14'885.50), augmenté de la TVA à 7.7 % en CHF 1'146.20, indemnité mise à la charge de l'appelant. 7.2.2. Non contestée en appel dans sa quotité, l'indemnité octroyée à l'intimée pour ses frais de défense pour la procédure préliminaire et de première instance ne sera pas revue.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