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P/7245/2022 vom 7. Februar 2024</w:t>
      </w:r>
    </w:p>
    <w:p>
      <w:r>
        <w:t>GE Cour de justice, 2024-02-07, FR</w:t>
      </w:r>
    </w:p>
    <w:p>
      <w:r>
        <w:rPr>
          <w:b/>
        </w:rPr>
        <w:t xml:space="preserve">Quelle: </w:t>
      </w:r>
      <w:r>
        <w:t>https://mcp.opencaselaw.ch/entscheid/ge_gerichte_P_7245_2022</w:t>
      </w:r>
    </w:p>
    <w:p>
      <w:r>
        <w:t>FR: GE_GERICHTE P/7245/2022 du 7 février 2024</w:t>
      </w:r>
    </w:p>
    <w:p>
      <w:r>
        <w:t>IT: GE_GERICHTE P/7245/2022 del 7 febbraio 2024</w:t>
      </w:r>
    </w:p>
    <w:p>
      <w:pPr>
        <w:pStyle w:val="Heading2"/>
      </w:pPr>
      <w:r>
        <w:t>Regeste</w:t>
      </w:r>
    </w:p>
    <w:p>
      <w:r>
        <w:t>DÉCISION D'IRRECEVABILITÉ | CPP.399.al3; CPP.388.al2.leta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Peuvent faire l'objet d'un appel, les jugements des tribunaux de première instance qui ont clos tout ou partie de la procédure (art. 398 al. 1 du Code de procédure pénale [CPP]).</w:t>
      </w:r>
    </w:p>
    <w:p>
      <w:r>
        <w:rPr>
          <w:b/>
        </w:rPr>
        <w:t>E. 1.2</w:t>
      </w:r>
    </w:p>
    <w:p>
      <w:r>
        <w:t>La partie annonce l'appel au tribunal de première instance par écrit ou oralement pour mention au procès-verbal dans le délai de dix jours à compter de la communication du jugement (art. 399 al. 1 CPP). Lorsque le jugement motivé est rédigé, le tribunal de première instance transmet l'annonce et le dossier à la juridiction d'appel (art. 399 al. 2 CPP). 1.3.1. La partie qui annonce l'appel adresse une déclaration d'appel écrite à la juridiction d'appel dans les 20 jours à compter de la notification du jugement motivé (art. 399 al. 3 CPP). Dans sa déclaration, elle indique si : elle entend attaquer le jugement dans son ensemble ou seulement certaines parties (let. a) ; les modifications du jugement de première instance qu'elle demande (let. b) ; ses réquisitions de preuves (let. c). 1.3.2. En l'absence d'une déclaration écrite d'appel, l'appel est irrecevable, même si l'on parvient à deviner, à la lecture de l'annonce d'appel, quelles auraient pu être les modifications du jugement demandées dans la déclaration d'appel, celle-ci eût-elle été déposée (arrêts du Tribunal fédéral 6B_1336/2017 du 22 mai 2018 consid. 2.1 ; 6B_678/2017 du 6 décembre 2017 consid. 5.1 ; 6B_547/2016 du 21 juin 2016 consid. 4 ; 6B_458/2013 du 4 novembre 2013 consid. 1.4.2 ; AARP/407/2023 du 24 novembre 2023 consid. 1).</w:t>
      </w:r>
    </w:p>
    <w:p>
      <w:r>
        <w:rPr>
          <w:b/>
        </w:rPr>
        <w:t>E. 1.4</w:t>
      </w:r>
    </w:p>
    <w:p>
      <w:r>
        <w:t>La direction de la procédure de l'autorité de recours décide de ne pas entrer en matière sur les recours manifestement irrecevables (art. 388 al. 2 let. a CPP).</w:t>
      </w:r>
    </w:p>
    <w:p>
      <w:r>
        <w:rPr>
          <w:b/>
        </w:rPr>
        <w:t>E. 2</w:t>
      </w:r>
    </w:p>
    <w:p>
      <w:r>
        <w:t>En l'espèce, la teneur de l'art. 399 al. 3 CPP a été dûment rappelée à l'appelant dans le dispositif notifié à l'issue des débats de première instance le 28 novembre 2023 ainsi que dans le jugement motivé notifié le 27 décembre 2023. Ce nonobstant, l'appelant n'a adressé aucune déclaration d'appel écrite à la Chambre de céans. Quand bien même l'annonce d'appel contenait une motivation, l'appelant ne pouvait faire l'impasse sur la déclaration d'appel. À cet égard, le courrier adressé au TP le 29 décembre 2023, puis transmis à la CPAR le 1 er janvier 2024, par lequel l'appelant se borne à rappeler avoir formé appel contre la décision de première instance, faisant expressément référence à son annonce d'appel, ne saurait pallier cette omission. Partant, l'appel doit être déclaré irrecevable</w:t>
      </w:r>
    </w:p>
    <w:p>
      <w:r>
        <w:rPr>
          <w:b/>
        </w:rPr>
        <w:t>E. 3</w:t>
      </w:r>
    </w:p>
    <w:p>
      <w:r>
        <w:t>La partie dont l'appel est irrecevable est considérée comme ayant succombé ; elle supportera les frais de la procédure envers l'État, y compris un émolument d'arrêt de CHF 300.- (art. 428 CPP ; art. 14 al. 1 let. a du règlement fixant le tarif des frais en matière pénale [RTFMP]).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