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P/7215/2016 vom 6. Dezember 2017</w:t>
      </w:r>
    </w:p>
    <w:p>
      <w:r>
        <w:t>GE Cour de justice, 2017-12-06, FR</w:t>
      </w:r>
    </w:p>
    <w:p>
      <w:r>
        <w:rPr>
          <w:b/>
        </w:rPr>
        <w:t xml:space="preserve">Quelle: </w:t>
      </w:r>
      <w:r>
        <w:t>https://mcp.opencaselaw.ch/entscheid/ge_gerichte_P_7215_2016</w:t>
      </w:r>
    </w:p>
    <w:p>
      <w:r>
        <w:t>FR: GE_GERICHTE P/7215/2016 du 6 décembre 2017</w:t>
      </w:r>
    </w:p>
    <w:p>
      <w:r>
        <w:t>IT: GE_GERICHTE P/7215/2016 del 6 dicembre 2017</w:t>
      </w:r>
    </w:p>
    <w:p>
      <w:pPr>
        <w:pStyle w:val="Heading2"/>
      </w:pPr>
      <w:r>
        <w:t>Regeste</w:t>
      </w:r>
    </w:p>
    <w:p>
      <w:r>
        <w:t>VIOLATION D'UNE OBLIGATION D'ENTRETIEN | CP.217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Les conclusions prises par l’intimé sont tardives dans la mesure où il n’a pas formé d’appel joint dans le délai prévu à cet effet (art. 400 al. 3 let. b CPP). Elles n’étaient de toute manière pas recevables. Elles concernaient en effet d’une part la peine, sur laquelle la partie plaignante ne peut pas interjeter recours (art. 382 al. 2 CPP), et d’autre part une indemnité pour tort moral et frais qui n’a pas été demandée en première instance ni été chiffrée et étayée (art. 123 al. 2 et 433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et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6B_109/2014 du 25 septembre 2014 consid. 2.1 et 6B_398/2013 du 11 juillet 2013 consid. 2.1).</w:t>
      </w:r>
    </w:p>
    <w:p>
      <w:r>
        <w:rPr>
          <w:b/>
        </w:rPr>
        <w:t>E. 2.2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La dette alimentaire est prioritaire à toutes les autres ( ACJP/161/2007 consid. 2.1). Le débiteur ne peut pas choisir de payer d'autres dettes en dehors de ce qui entre dans la détermination de son minimum vital (arrêt du Tribunal fédéral 6S.208/2004 du 19 juillet 2004 consid. 2.1).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Le débiteur de l'obligation d'entretien doit ainsi accepter qu'il soit empiété d'une certaine manière sur son mode de vie si, ce faisant, il parvient à atteindre des revenus essentiellement plus élevés (ATF 126 IV 131 consid. 3a ; arrêt du Tribunal fédéral 6B_1017/2016 précité). La capacité économique du débiteur de verser la contribution d'entretien se détermine par analogie avec le droit des poursuites relatif au minimum vital (art. 93 LP; ATF 121 IV 272 consid. 3c ; arrêt du Tribunal fédéral 6B_1/2012 du 18 avril 2012 consid. 1.1). Il n'est pas nécessaire que le débiteur ait eu les moyens de fournir entièrement sa prestation, il suffit qu'il ait pu fournir plus qu'il ne l'a fait et qu'il ait, dans cette mesure, violé son obligation d'entretien (ATF 114 IV 124 consid. 3b ; arrêt du Tribunal fédéral 6B_797/2016 du 15 août 2017 consid. 4.1). Le juge pénal est lié par la contribution d'entretien fixée par le juge civil (ATF 106 IV 36 ; arrêt 6B_608/2014 du 6 janvier 2015 consid. 1.1).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6B_1017/2016 précité et 6B_573/2013 du 1er octobre 2013 consid. 1.1).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 2.3.1. En l’espèce, il est constant que l’appelante est débitrice d’une contribution à l’entretien de son fils à hauteur de CHF 1'330.- par mois, conformément à l’arrêt de la Cour de justice du 8 novembre 2013, et qu’elle n’a rien versé à ce titre. L’intimé a porté plainte et l’arriéré s’élève à CHF 21'280.- en rapport avec la période courant de novembre 2015 à février 2017. Les charges mensuelles de l’appelante comprenaient, en sus du montant de base de son minimum vital de CHF 1'200.-, puis de CHF 1'350.- à partir de la naissance de ses jumelles le ______, un loyer de CHF 1'500.-, les frais de transport de CHF 70.- et les primes d’assurance-maladie de l’ordre de CHF 500.-. Les charges de l’appelante totalisaient ainsi CHF 3'270.- jusqu’au ______ et CHF 3'420.- par la suite. Son salaire s’est élevé à CHF 3'391.- en 2015, à CHF 3'397.- en 2016, et il n’a pas connu de changement en 2017. Il a donc été absorbé par ses charges. L’appelante n’a par ailleurs invoqué à aucun moment d’autres frais concernant l’entretien de ses jumelles, dont le coût devait dès lors être assumé par le père de ces dernières. 2.3.2. Dans sa précédente décision du 31 mai 2017, concernant la période de mars 2013 à juillet 2014, la CPAR a reconnu l’appelante coupable de violation de son obligation d’entretien, principalement au motif qu’elle n’avait pas saisi la possibilité de relever son revenu en augmentant son taux d’activité, ce qui pouvait d’autant plus être exigé d’elle qu’elle avait exercé au titre d’indépendante jusqu’en avril 2011. Selon l’arrêt de la Cour de justice du 8 novembre 2013, l’appelante était en mesure de travailler à un taux d’activité de 80% et d’en retirer un revenu de CHF 5'000.-. Selon les certificats médicaux versés au dossier, l’appelante se trouvait en incapacité de travail depuis le 7 décembre 2015. Ainsi que le souligne toutefois l’intimé, elle aurait pu préalablement augmenter son taux d’activité comme le prescrivait l’arrêt du 8 novembre 2013. Aucun élément du dossier n’exclut une telle possibilité. Elle aurait ainsi été en mesure de percevoir un revenu, même en arrêt maladie ou accident, suffisamment élevé pour acquitter la contribution à l’entretien de son fils, à tout le moins en partie. Le revenu que son employeur ou son assurance perte de gains lui aurait versé se serait en effet élevé au minimum à 80% de son salaire, soit à environ CHF 4'000.- (80% de CHF 5'000.-), dont elle aurait pu consacrer au moins CHF 500.- à l’entretien de son fils. 2.3.3. L’appelante a par ailleurs vécu aux Etats-Unis, chez sa sœur selon ses dires, de mai 2016 à mai 2017. Elle a expliqué être partie dans le but d’y passer de simples vacances, mais y être finalement restée au vu des complications de sa grossesse et de l’interdiction médicale de prendre l’avion en découlant, puis de son incapacité de travailler, après la fin de son congé maternité, à la suite d’un accident de voiture en novembre 2016. Les affirmations de l’appelante selon lesquelles elle n’avait pas prévu de rester aux Etats-Unis pour une période supérieure à la durée de vacances ne sont pas crédibles. Elles ne trouvent en effet aucun appui dans le dossier et il est bien plus plausible que l’appelante, en partant aux Etats-Unis à la fin de sa grossesse, eût dès l’origine le projet d’y rester pour vivre un certain temps auprès de sa sœur ou de son compagnon après son accouchement. Il est en tous les cas certain qu’elle projetait un séjour de plus d’un mois puisque, selon son mémoire d’appel, son vol de retour était prévu le 30 juin 2016. Or, durant toute son absence, elle a continué à payer le loyer de son appartement à Genève, à hauteur de CHF 1'500.- par mois. Elle a ainsi choisi d’en conserver la jouissance, alors que ce logement ne lui était plus nécessaire. En y renonçant, elle aurait pu économiser le loyer, ce qui lui aurait permis de payer l’intégralité de la contribution d’entretien de juin 2016 à février 2017. L’appelante objecte vainement n’avoir pas envisagé une telle possibilité par crainte de ne pas retrouver un appartement à Genève. Sa situation financière aurait certes notablement compliqué la recherche d’un nouvel appartement, mais la résiliation de son bail n’était pas inévitable. L’appelante aurait en effet pu soit convenir avec son ami, B______, de suspendre la sous-location, libre à ce dernier de sous-louer l’appartement à une autre personne durant son absence, soit procéder elle-même à une sous-location. Le refus de sous-louer l’appartement à une tierce personne exprimé par B______ est peu crédible et semble avoir été attesté, le 17 juillet 2017, seulement pour les besoins de la cause. Il n’en explique en effet aucunement les raisons et un tel refus de principe est en contradiction avec le fait qu’il sous-loue déjà l’appartement à l’appelante. Le droit du bail autorisait de toute manière cette dernière à sous-louer son appartement malgré l’opposition du locataire principal, ce dernier ne pouvant pas refuser son consentement dès lors que la sous-location respectait les conditions prévues par la loi (cf. art. 262 CO).</w:t>
      </w:r>
    </w:p>
    <w:p>
      <w:r>
        <w:rPr>
          <w:b/>
        </w:rPr>
        <w:t>E. 2.4</w:t>
      </w:r>
    </w:p>
    <w:p>
      <w:r>
        <w:t>En conclusion, l’appelante aurait eu les moyens de verser la contribution due pour l’entretien de son fils, à tout le moins en partie de novembre 2015 à mai 2016 et entièrement de juin 2016 à février 2017, en augmentant préalablement le taux de son activité professionnelle, respectivement en renonçant à la jouissance de son appartement à Genève durant son séjour aux Etats-Unis. Son intention ne laisse aucune place au doute dès lors qu’elle avait pleinement conscience de ses obligations financières, fixées judiciairement. Sa condamnation pour violation d’une obligation d’entretien sera par conséquent confirmée.</w:t>
      </w:r>
    </w:p>
    <w:p>
      <w:r>
        <w:rPr>
          <w:b/>
        </w:rPr>
        <w:t>E. 3</w:t>
      </w:r>
    </w:p>
    <w:p>
      <w:r>
        <w:t>3.1. La violation d’une obligation d’entretien est punie d’une peine privative de liberté de trois ans au plus ou d’une peine pécuniaire (art. 217 al. 1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3.2.2. Conformément à l'art. 34 CP, la peine pécuniaire est fixée en jours-amende, 360 au minimum,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3.2.3. Le juge suspend en règle générale l’exécution d’une peine pécuniaire lorsqu’une peine ferme ne paraît pas nécessaire pour détourner l’auteur d’autres crimes ou délits (art. 42 al. 1 CP) et impartit au condamné un délai d’épreuve de deux à cinq ans (art. 44 al. 1 CP).</w:t>
      </w:r>
    </w:p>
    <w:p>
      <w:r>
        <w:rPr>
          <w:b/>
        </w:rPr>
        <w:t>E. 3.3</w:t>
      </w:r>
    </w:p>
    <w:p>
      <w:r>
        <w:t>En l’espèce, l’appelante ne conteste pas spécifiquement la nature ni la quotité de la peine fixée par le premier juge. Sa faute est lourde dans la mesure où elle a égoïstement choisi, pendant plus d’une année, de faire passer son confort avant le respect de ses obligations financières à l’égard de son fils, alors qu’elle aurait pu en assumer une grande partie en prenant les mesures qui s’imposaient. La peine prononcée par le premier juge est adaptée à sa culpabilité. Elle sera donc confirmée. Il en ira de même du sursis, acquis à l’appelante (art. 391 al. 2 CPP). Le montant du jour-amende et la durée du délai d’épreuve, qui prennent en compte de manière adéquate respectivement la situation financière de l’appelante et le risque de récidive qu’elle présente, ne seront pas non plus revus.</w:t>
      </w:r>
    </w:p>
    <w:p>
      <w:r>
        <w:rPr>
          <w:b/>
        </w:rPr>
        <w:t>E. 3.4</w:t>
      </w:r>
    </w:p>
    <w:p>
      <w:r>
        <w:t>Au vu de ce qui précède, l’appel sera rejeté.</w:t>
      </w:r>
    </w:p>
    <w:p>
      <w:r>
        <w:rPr>
          <w:b/>
        </w:rPr>
        <w:t>E. 4</w:t>
      </w:r>
    </w:p>
    <w:p>
      <w:r>
        <w:t>L'appelante, qui succombe, supportera les frais de la procédure envers l'État, comprenant un émolument de CHF 2'000.- (art. 428 CPP). Au vu de l’issue de la procédure, elle sera pour le surplus déboutée de ses conclusions en indemnisation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