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P/7211/2012 vom 17. Oktober 2016</w:t>
      </w:r>
    </w:p>
    <w:p>
      <w:r>
        <w:t>GE Cour de justice, 2016-10-17, FR</w:t>
      </w:r>
    </w:p>
    <w:p>
      <w:r>
        <w:rPr>
          <w:b/>
        </w:rPr>
        <w:t xml:space="preserve">Quelle: </w:t>
      </w:r>
      <w:r>
        <w:t>https://mcp.opencaselaw.ch/entscheid/ge_gerichte_P_7211_2012</w:t>
      </w:r>
    </w:p>
    <w:p>
      <w:r>
        <w:t>FR: GE_GERICHTE P/7211/2012 du 17 octobre 2016</w:t>
      </w:r>
    </w:p>
    <w:p>
      <w:r>
        <w:t>IT: GE_GERICHTE P/7211/2012 del 17 ottobre 2016</w:t>
      </w:r>
    </w:p>
    <w:p>
      <w:pPr>
        <w:pStyle w:val="Heading2"/>
      </w:pPr>
      <w:r>
        <w:t>Regeste</w:t>
      </w:r>
    </w:p>
    <w:p>
      <w:r>
        <w:t>IN DUBIO PRO REO ACTE D'ORDRE SEXUEL AVEC UNE PERSONNE DÉPENDANTE ; HONORAIRES ; DÉFENSE D'OFFICE | CEDH 6.3; CP 192.1; CPP 135.1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Il ne saurait être fait grief à l'intimé d'avoir tardivement produit le rapport de G______, puisqu'il avait manifesté sa volonté de le faire déjà devant le premier juge, sans toutefois y parvenir. Dans la mesure où le Ministère public avait requis de la CACJ qu'elle lui transfère une copie intégrale de la procédure administrative dont ce document fait partie, son absence à la procédure pénale relève manifestement d'une erreur. Rien ne s'oppose, dès lors, à sa production, laquelle sera admise.</w:t>
      </w:r>
    </w:p>
    <w:p>
      <w:r>
        <w:rPr>
          <w:b/>
        </w:rPr>
        <w:t>E. 2.4</w:t>
      </w:r>
    </w:p>
    <w:p>
      <w:r>
        <w:t>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w:t>
      </w:r>
    </w:p>
    <w:p>
      <w:r>
        <w:rPr>
          <w:b/>
        </w:rPr>
        <w:t>E. 3.1</w:t>
      </w:r>
    </w:p>
    <w:p>
      <w:r>
        <w:t>Selon l’art. 311 al. 1 1 ère phrase CPP, le procureur recueille, en principe, lui-même les preuves nécessaires. La 2 ème phrase statue une première exception : dans certains cantons, selon une pratique établie, le ministère public peut, aux fins de décharger les procureurs, confier certains actes d’instruction à ses collaborateurs donc à des agents chargés de l’instruction, tel que la loi d’application du code pénal suisse et d’autres lois fédérales en matière pénale du 27 août 2009 (LaCP ; E 4 10) le prévoit à Genève. Il s’agit généralement d’auditions de participants à la procédure dans les cas les plus simples (art. 21 al. 2 LaCP), en particulier lorsqu’il est prévisible que la procédure sera clôturée par une ordonnance pénale. Selon le Message, la Confédération et les cantons doivent pouvoir maintenir cette pratique tout en veillant à ce que les actes essentiels de l’instruction continuent d’être accomplis par les procureurs eux-mêmes (Message relatif à l'unification du droit de la procédure pénale du 21 décembre 2005, FF 2006 p. 1248). Une seconde exception est prévue à l'art. 312 CPP, qui octroie au procureur la faculté de confier des actes d'instruction particuliers à la police (ex. art. 23 LaCP). Ces prérogatives s'inscrivent dans son rôle d'accusateur exigeant qu'il fournisse au tribunal les éléments essentiels lui permettant de juger de la culpabilité du prévenu et de fixer la peine (art. 308 al. 3 CPP). Le ministère public porte ainsi la responsabilité principale de l'établissement des faits ; le système de l'immédiateté des preuves limitée en première instance donne à l'instruction durant la procédure préliminaire une importance particulière (arrêts 6B_24/2015 du 2 décembre 2015 consid. 2.1, 6B_845/2014 du 16 mars 2015 consid. 2.1 et 1B_302/2011 du 26 juillet 2011 consid. 2.2.1).</w:t>
      </w:r>
    </w:p>
    <w:p>
      <w:r>
        <w:rPr>
          <w:b/>
        </w:rPr>
        <w:t>E. 3.2</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En vertu de l'art. 10 al. 2 CPP, le juge donne aux moyens de preuve produits tout au long de la procédure la valeur qu'il estime devoir leur attacher pour se forger une intime conviction sur la réalité d'un fait (arrêt du Tribunal fédéral 6B_348/2012 du 24 octobre 2012 consid. 1.3). Cela signifie qu'il ne saurait attribuer d'entrée de cause une force probante accrue à certains moyens de preuve (arrêts du Tribunal fédéral 6B_146/2016 du 22 août 2016 consid. 4.1 ; 6B_353/2015 du 14 décembre 2015 consid. 2 et 1P.283/2006 du 4 août 2006 consid. 2.3).</w:t>
      </w:r>
    </w:p>
    <w:p>
      <w:r>
        <w:rPr>
          <w:b/>
        </w:rPr>
        <w:t>E. 3.3</w:t>
      </w:r>
    </w:p>
    <w:p>
      <w:r>
        <w:t>A teneur de l'art. 192 al. 1 CP, celui qui, profitant d'un rapport de dépendance aura déterminé, notamment une personne hospitalisée, à commettre ou subir un acte d'ordre sexuel, sera puni d'une peine privative de liberté de trois ans au plus ou d'une peine pécuniaire. L'auteur doit se trouver dans un lien de dépendance avec la victime et doit avoir une position dominante par rapport à celle-ci. Il peut être celui qui a l'autorité sur la personne ou un collaborateur spécialisé comme un infirmier, un aide-soignant ou toutes les personnes qui prennent soin des patients (arrêt du Tribunal fédéral 6B_1010/2013 du 17 février 2014 consid. 3.1). Outre l'existence d'un lien de dépendance, l'art. 192 CP exige que l'auteur de l'infraction en ait profité afin de déterminer sa victime à commettre ou à subir un acte d'ordre sexuel. Pour ce faire, il faut que la victime ait été influencée par la situation dans laquelle elle se trouvait et par la position qu'occupait l'auteur par rapport à elle (arrêt du Tribunal fédéral 6B_1010/2013 du 17 février 2014 consid. 3.1). A cet égard, il est admis que les patients d'un hôpital ne peuvent pas se soustraire sans difficulté de l'influence du personnel soignant (ATF 102 IV 250 p. 252 ; arrêt du Tribunal fédéral 6B_1010/2013 du 17 février 2014 consid. 3.1). L'infraction n'est pas réalisée si l'on doit conclure, même au bénéfice du doute, que la personne entravée dans sa liberté a consenti de manière totalement libre, sans être en rien influencée par sa situation particulière, par exemple en prenant librement l'initiative (arrêt du Tribunal fédéral 6B_1010/2013 du 17 février 2014 consid. 3.1).</w:t>
      </w:r>
    </w:p>
    <w:p>
      <w:r>
        <w:rPr>
          <w:b/>
        </w:rPr>
        <w:t>E. 3.4</w:t>
      </w:r>
    </w:p>
    <w:p>
      <w:r>
        <w:t>Il est établi, sur la base des éléments matériels explicités par ses propres déclarations, que l'intimé n'a donné qu'une douche à la victime durant le mois précédant ses accusations, le 15 avril 2012, de sorte que les divergences relatives à la date de l'événement ne se révèlent pas problématiques. Le Ministère public fait grand cas de la crédibilité de la victime. C'est oublier qu'il a attendu deux ans et trois mois avant de solliciter son audition par la police et qu'il a renoncé à ce qu'elle confirme/infirme ses accusations devant lui. Il va sans dire, vu la gravité des charges et des conséquences professionnelles potentielles, que le Ministère public ne pouvait pas rendre son ordonnance pénale sans avoir entendu ni l'intimé ni la victime, sinon par le truchement de la police, et a fortiori maintenir sa décision sans effectuer d'autres actes d'instruction que l'audition obligatoire de l'opposant déléguée à une greffière-juriste plus de quatre mois plus tard. Tout porte ainsi à croire que le Ministère public s'est reposé sur l'enquête administrative, ce qui revenait à occulter les principes d'immédiateté des preuves et d'impartialité auxquels la procédure administrative n'est pas formellement soumise – ce qui ne veut toutefois pas dire qu'ils n'ont pas été respectés dans le cas d'espèce –, au même titre que les autres règles du CPP. Indépendamment de ces considérations procédurales, le dossier administratif ne comportait, en tout état, pas suffisamment d'éléments pour fonder le verdict de culpabilité prononcé par le Ministère public, ne serait-ce que par le choix opéré par l'enquêtrice de privilégier l'audition de témoins indirects plutôt que celle de la victime qu'elle n'a jamais entendue. Au surplus, même à considérer les éléments issus de cette procédure comme suffisamment probants, la version de la victime, seul élément à charge, n'emporte pas pleinement conviction. Certes, sa capacité de discernement était entière, encore qu'elle a pu subir une altération en un peu plus de deux ans si l'on en croit les doutes exprimés au sujet de la réalité d'une hospitalisation aux C______. Le processus de dévoilement semble sincère et sa version des faits envisageable, au-delà de la controverse sur les caractéristiques du pantalon du personnel soignant. Aurait-elle, par ailleurs, menti que l'on ne discerne pas de mobile, si ce n'est celui futile de sa jalousie pour le temps consacré par l'intimé à sa voisine de lit. Cela étant, le contenu vindicatif de sa dénonciation écrite et les propos fielleux/la description extrapolée qu'elle a servis à la police posent un problème de crédibilité non négligeable. S'y ajoute un doute quant à la matérialité des faits décrits au regard des caractéristiques du local de douche largement ouvert à divers usagers. Il appert, par conséquent, que la version de la victime peut être réelle, très éloignée de la réalité ou même porter sur un autre événement concernant une autre personne. Quant à celle de l'intimé, sa crédibilité est corroborée par la constance de ses dires, la reconnaissance immédiate de sa possible implication et la description plausible du comportement aguicheur de la victime. Certes, il peut être imputé à charge de l'intimé qu'il n'ait pas signalé les propos déplacés de la patiente, encore qu'il ne puisse s'agir que d'une mauvaise appréciation de sa part. Il ne ressort par ailleurs pas du dossier que la victime ait refusé de recevoir d'autres soins de l'intimé, notamment ceux qu'il lui a prodigués juste après sa douche selon le tableau à usage interne, ce qui vient contredire les propos tenus à la stagiaire. S'ajoutent l'absence de précédents – puisqu'on ne saurait tenir compte des faits non instruits relatifs à la résidence ______ ni de ceux, non poursuivis, concernant E______ –, et la qualité du travail qu'il a fourni pendant 17 années au sein des HUG, ainsi que le démontrent ses six excellentes évaluations, les retours positifs de ses collègues et patients qui le décrivent unanimement comme une personne impliquée et dévouée. Eu égard à l'attachement de l'intimé pour sa fonction, on peine à croire qu'il aurait pris un risque aussi grand, qui plus est dans un endroit couramment fréquenté et nonobstant l'avertissement qui lui avait été récemment donné. Force est ainsi de constater que l'innocence de l'intimé ne parait pas moins vraisemblable que sa culpabilité. Le doute doit lui profiter de sorte que l'acquittement prononcé en première instance sera confirmé par substitution partielle des motifs et l'appel rejeté.</w:t>
      </w:r>
    </w:p>
    <w:p>
      <w:r>
        <w:rPr>
          <w:b/>
        </w:rPr>
        <w:t>E. 4</w:t>
      </w:r>
    </w:p>
    <w:p>
      <w:r>
        <w:t>Vu la qualité de l'appelant, qui succombe, les frais de la procédure seront laissés à la charge de l'Etat de Genève (art. 428 CPP).</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au tarif de CHF 200.- pour un chef d'étude (let. c). En cas d'assujettissement, l'équivalent de la TVA est versé en sus. 5.2.2. A l'instar de la jurisprudence fédérale,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Ainsi, les courriers divers sont en principe inclus dans le forfait de même que d'autres documents ne nécessitant pas ou peu de motivation ou autre investissement particulier en termes de travail juridique, telles des observations sur la déclaration d'appel ( AARP/33/2016 du 29 janvier 2016 ; AARP/326/2015 du 16 juillet 2015 ; AARP/302/2013 du 14 juin 2013 ; AARP/281/2015 du 25 juin 2015) ou la formulation de réquisitions de preuve pas ou peu étayées ( AARP/472/2015 du 16 octobre 2015 consid. 7.3 ; AARP/295/2015 du 12 juillet 2015 consid. 8.2.3 et 8.3.1.1 ; AARP/433/2014 du 7 octobre 2014).</w:t>
      </w:r>
    </w:p>
    <w:p>
      <w:r>
        <w:rPr>
          <w:b/>
        </w:rPr>
        <w:t>E. 5.3</w:t>
      </w:r>
    </w:p>
    <w:p>
      <w:r>
        <w:t>Conformément aux principes précités, la durée de l'entretien facturée par le défenseur d'office sera réduite à une heure et demie, dans la mesure où il connaissait parfaitement le dossier qu'il suit depuis le début et que la ligne de défense était identique à celle décidée avec le client en première instance. Le temps consacré à la rédaction d'une détermination/réquisitions de preuve sera en outre retranché, toutes tâches incluses dans le forfait pour l'activité diverse. Aussi, l'indemnité sera arrêtée à CHF 2'224.85 correspondant à huit heures et 20 minutes d'activité (audience d'une heure et 50 minutes et forfait de déplacement inclus) au tarif de CHF 200.-/heure, plus la majoration forfaitaire de 20% (CHF 343.35) et l'équivalent de la TVA au taux de 8% (CHF 164.80).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