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P/7205/2022 vom 31. März 2022</w:t>
      </w:r>
    </w:p>
    <w:p>
      <w:r>
        <w:t>GE Cour de justice, 2022-03-31, FR</w:t>
      </w:r>
    </w:p>
    <w:p>
      <w:r>
        <w:rPr>
          <w:b/>
        </w:rPr>
        <w:t xml:space="preserve">Quelle: </w:t>
      </w:r>
      <w:r>
        <w:t>https://mcp.opencaselaw.ch/entscheid/ge_gerichte_P_7205_2022</w:t>
      </w:r>
    </w:p>
    <w:p>
      <w:r>
        <w:t>FR: GE_GERICHTE P/7205/2022 du 31 mars 2022</w:t>
      </w:r>
    </w:p>
    <w:p>
      <w:r>
        <w:t>IT: GE_GERICHTE P/7205/2022 del 31 marzo 2022</w:t>
      </w:r>
    </w:p>
    <w:p>
      <w:pPr>
        <w:pStyle w:val="Heading2"/>
      </w:pPr>
      <w:r>
        <w:t>Regeste</w:t>
      </w:r>
    </w:p>
    <w:p>
      <w:r>
        <w:t>DÉTENTION PROVISOIRE;RISQUE DE FUITE;RISQUE DE COLLUSION | CPP.221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222 et 393 al. 1 let. c CPP) et émaner du prévenu qui, partie à la procédure (art. 104 al. 1 let. a CPP), a qualité pour agir, ayant un intérêt juridiquement protégé à la modification ou à l'annulation de la décision querellée (art. 382 al. 1 CPP).![endif]&gt;![if&gt;</w:t>
      </w:r>
    </w:p>
    <w:p>
      <w:r>
        <w:rPr>
          <w:b/>
        </w:rPr>
        <w:t>E. 2</w:t>
      </w:r>
    </w:p>
    <w:p>
      <w:r>
        <w:t>Les charges apparaissent suffisantes et graves, au vu des préventions prononcées à l'endroit du prévenu. Ce dernier a, au demeurant, admis les faits reprochés. Partant, il n'y a pas lieu de s'attarder sur cette question.![endif]&gt;![if&gt;</w:t>
      </w:r>
    </w:p>
    <w:p>
      <w:r>
        <w:rPr>
          <w:b/>
        </w:rPr>
        <w:t>E. 3</w:t>
      </w:r>
    </w:p>
    <w:p>
      <w:r>
        <w:t>Quand bien même le recourant ne se prononce pas sur le risque de fuite, on constate que c'est à bon droit que le premier juge l'a retenu. ![endif]&gt;![if&gt; Bien qu'au bénéfice d'un permis de travail frontalier à Genève, le prévenu n'a aucune attache dans notre pays. Ressortissant français, il semble résider en France – n'ayant qu'une adresse postale en Suisse. Le risque qu'il se soustraie à la justice apparaît ainsi élevé, vu les peines menaces encourues, étant rappelé que la France n'extrade pas ses ressortissants. Aucune mesure de substitution n'est apte à pallier ce risque, à ce stade précoce de l'instruction. Le désir du prévenu de poursuivre son activité professionnelle de livreur, de crainte d'être licencié, ne constitue pas une garantie suffisante qu'il se présentera à tous les actes d'instruction et à l'audience de jugement, ce d'autant qu'on ignore tout de son emploi actuel.</w:t>
      </w:r>
    </w:p>
    <w:p>
      <w:r>
        <w:rPr>
          <w:b/>
        </w:rPr>
        <w:t>E. 4</w:t>
      </w:r>
    </w:p>
    <w:p>
      <w:r>
        <w:t>Nonobstant le fait que le prévenu reconnaisse les faits reprochés, il existe en l'état un risque de collusion avec ses deux autres co-prévenus, l'ampleur de leur activité délictuelle devant encore être circonscrite avant leur confrontation. Aucune mesure de substitution n'est à même de pallier ce risque.</w:t>
      </w:r>
    </w:p>
    <w:p>
      <w:r>
        <w:rPr>
          <w:b/>
        </w:rPr>
        <w:t>E. 5</w:t>
      </w:r>
    </w:p>
    <w:p>
      <w:r>
        <w:t>La durée de la mise en détention provisoire ordonnée apparaît proportionnée.</w:t>
      </w:r>
    </w:p>
    <w:p>
      <w:r>
        <w:rPr>
          <w:b/>
        </w:rPr>
        <w:t>E. 6</w:t>
      </w:r>
    </w:p>
    <w:p>
      <w:r>
        <w:t>Le recours s'avère ainsi infondé et doit être rejeté.</w:t>
      </w:r>
    </w:p>
    <w:p>
      <w:r>
        <w:rPr>
          <w:b/>
        </w:rPr>
        <w:t>E. 7</w:t>
      </w:r>
    </w:p>
    <w:p>
      <w:r>
        <w:t>Le recourant, qui succombe, supportera les frais envers l'État, qui comprendront un émolument de CHF 900.- (art. 428 al. 1 CPP et 13 al. 1 du Règlement fixant le tarif des frais en matière pénale, RTFMP ; E 4 10.03).</w:t>
      </w:r>
    </w:p>
    <w:p>
      <w:r>
        <w:rPr>
          <w:b/>
        </w:rPr>
        <w:t>E. 8</w:t>
      </w:r>
    </w:p>
    <w:p>
      <w:r>
        <w:t>Le recourant ayant agi en personne, il n'y a pas lieu d'indemniser son précédent avocat d'office. Ni son actuel, une réplique de quelques lignes ne constituant pas une activité significative.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