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P/7186/2011 vom 18. September 2017</w:t>
      </w:r>
    </w:p>
    <w:p>
      <w:r>
        <w:t>GE Cour de justice, 2017-09-18, FR</w:t>
      </w:r>
    </w:p>
    <w:p>
      <w:r>
        <w:rPr>
          <w:b/>
        </w:rPr>
        <w:t xml:space="preserve">Quelle: </w:t>
      </w:r>
      <w:r>
        <w:t>https://mcp.opencaselaw.ch/entscheid/ge_gerichte_P_7186_2011</w:t>
      </w:r>
    </w:p>
    <w:p>
      <w:r>
        <w:t>FR: GE_GERICHTE P/7186/2011 du 18 septembre 2017</w:t>
      </w:r>
    </w:p>
    <w:p>
      <w:r>
        <w:t>IT: GE_GERICHTE P/7186/2011 del 18 settembre 2017</w:t>
      </w:r>
    </w:p>
    <w:p>
      <w:pPr>
        <w:pStyle w:val="Heading2"/>
      </w:pPr>
      <w:r>
        <w:t>Regeste</w:t>
      </w:r>
    </w:p>
    <w:p>
      <w:r>
        <w:t>CP.158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rPr>
          <w:b/>
        </w:rPr>
        <w:t>E. 2.2</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rPr>
          <w:b/>
        </w:rPr>
        <w:t>E. 2.3</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w:t>
      </w:r>
    </w:p>
    <w:p>
      <w:r>
        <w:t>3.1.1. 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 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(art. 158 ch. 1 al. 3 CP). 3.1.2. Seul peut avoir une position de gérant celui qui dispose d'une indépendance suffisante et qui jouit d'un pouvoir de disposition autonome sur les biens qui lui sont remis (ATF 129 IV 124 consid. 3.1 p. 126 = JdT 2005 IV 112 ; 123 IV 17 consid. 3b p. 21 ; 120 IV 190 consid. 2b p. 192).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p. 21 ; 120 IV 190 consid. 2b p. 192). Dans la société anonyme, la qualité de gérant est notamment reconnue aux membres du conseil d’administration ( cf. art. 707 de la loi fédérale du 30 mars 1911, complétant le Code civil suisse [CO, Code des obligations ; RS 220]), à l’administrateur unique d’une SA (ATF 117 IV 259 = JdT 1993 IV 80), à l’administrateur en général (ATF 100 IV 108 consid. 4 = JdT 1975 IV 8 ; 100 IV 167 consid. 3), au président du conseil d’administration et directeur d’une SA, au bénéfice d’une signature individuelle (arrêt du Tribunal fédéral 6B_294/2008 du 1 er septembre 2008) ou encore aux directeurs et autres personnes auxquelles la gestion et le pouvoir de représentation sont partiellement délégués, soit aux organes de fait ( cf. art. 716b CO, 718 al. 2 CO ; ATF 129 IV 124 consid. 30.1 = JdT 2005 IV 112 ; arrêt 6B_830/2011 du 9 octobre 2012 ; M. DUPUIS / B. GELLER / G. MONNIER / L. MOREILLON / C. PIGUET / C. BETTEX / D. SOLL [éd.], Code pénal, Petit commentaire , Bâle 2012, n. 11 ad art. 158 CP ; S. TRECHSEL / D. CRAMERI, Schweizerisches Strafgesetzbuch, Praxiskommentar , 2 e éd., 2013, n. 6 ad art. 158 CP). 3.1.3.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violée soit liée à la gestion confiée (ATF 123 IV 17 consid. 3b ; 120 IV 190 consid. 2b, spéc. p. 193 ; 105 IV 307 consid. 3 p. 312 s). Le comportement délictueux visé à l'art. 158 CP n'est pas décrit par le texte légal. Il consiste à violer les devoirs inhérents à la qualité de gérant. Le gérant sera ainsi punissable s'il transgresse, par action ou par omission,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6B_845/2014 du 16 mars 2015 consid. 3.2 ; 6B_233/2013 du 3 juin 2013 consid. 3.2 ; 6B_223/2010 du 13 janvier 2011 consid. 3.3.2 et 6B_446/2010 du 14 octobre 2010 consid. 8.4.1). L'obligation de veiller à accroître le patrimoine administré doit en règle générale être reconnue à l'égard des gérants d'une société commerciale ou d'une entreprise exploitée en la forme commerciale (ATF 105 IV 307 consid. 3 = JdT 1981 IV 79). 3.1.4. L'infraction de gestion déloyale n'est consommée que s'il y a eu un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123 IV 17 consid. 3d ; 121 IV 104 consid. 2c p. 107 et les références citées) ; un préjudice temporaire suffit (ATF 121 IV 104 consid. 2c p. 108 et les arrêts cités). Le patrimoine est diminué sur le plan économique lorsque sa mise en danger doit figurer au bilan, si celui-ci est correctement établi, sous forme d'un ajustement de valeur ou d'une provision (ATF 123 IV 17 consid. 3d ; 122 IV 279 consid. 2a et la référence à M. SCHUBARTH, Vermögensschaden durch Vermögensgefährdung, in Festschrift J. GAUTHIER, Berne 1996, p. 71 ss, 79). Il n'est pas nécessaire que le dommage corresponde à l'enrichissement de l'auteur, ni qu'il soit chiffré ; il suffit qu'il soit certain ( cf. ATF 129 IV 124 consid. 3.1 = JdT 2005 IV 112 ; 123 IV 17 consid. 3d p. 22 ; 122 IV 279 consid. 2a ; 121 IV 104 consid. 2c p. 107). Il n'existe que lorsque la personne lésée a un droit protégé par le droit civil à la compensation du dommage subi. La gestion déloyale est donc une infraction de lésion, qui est consommée lorsque l’auteur, ayant violé son devoir de veiller, en qualité de gérant, sur les intérêts pécuniaires d’autrui, a causé un dommage au patrimoine qu’il devait protéger (ATF 129 IV 125 consid. 3.1). 3.1.5. Sur le plan subjectif, l'intention doit porter sur tous les éléments constitutifs (ATF 129 IV 124 consid. 3.1 p. 125 ; 122 IV 279 consid. 2a p. 281 ; 121 IV 104 consid. 2c p. 107 ; 120 IV 190 consid. 2b p. 192 ss). Le dol éventuel suffit, mais il doit être caractérisé vu l'imprécision des éléments constitutifs objectifs de cette infraction (ATF 123 IV 17 consid. e p. 23 ; 120 IV 190 consid. 2b p. 193). 3.1.6. Si l’auteur agit non seulement de façon intentionnelle, mais se trouve de surcroît mû par un dessein d’enrichissement illégitime, l’infraction devient un crime et la peine encourue passe à une peine privative de liberté de cinq ans au plus (M. DUPUIS et al. [éd.], op. cit. , n. 30 ad art. 158). La jurisprudence du Tribunal fédéral considère que le dessein d'enrichissement illégitime réside ordinairement dans la valeur du bien obtenu, ou encore dans la valeur d'aliénation ou d'usage. Il ne sera pas illégitime si l'auteur y a droit (ou croit qu'il y a droit en raison d'une erreur sur les faits) (ATF 105 IV 29 consid. 3b p. 35). Le dessein d'enrichissement illégitime fait notamment défaut si, au moment de l'emploi illicite de la valeur patrimoniale confiée, l'auteur en paie la contre-valeur (ATF 107 IV 166 consid. 2a p. 167), s'il avait, à tout moment ou, le cas échéant, à la date convenue à cet effet, la volonté et la possibilité de le faire (" Ersatzbereitschaft " ; ATF 118 IV 32 consid. 2a p. 34) ou encore s'il était en droit de compenser (ATF 105 IV 29 consid. 3 p. 34 ss et ATF 6B_17/2009 du 16 mars 2009 consid. 2.2.1). Ainsi, il n'y a pas de dessein d'enrichissement illégitime chez celui qui s'approprie une chose pour se payer ou pour tenter de se payer lui-même, s'il a une créance d'un montant au moins égal à la valeur de chose qu'il s'est appropriée et s'il a vraiment agi en vue de se payer. Ce qui exclut le dessein d'enrichissement illégitime dans une telle hypothèse, ce n'est pas la circonstance objective de l'existence d'une créance de l'auteur contre le lésé, mais sa volonté de se faire payer. Ce qui est déterminant, c'est uniquement son intention au moment de l'appropriation (ATF 105 IV 29 consid. 3a p. 35). L'enrichissement peut être seulement provisoire ou temporaire (ATF 118 IV 29 consid. 3a). S'agissant de l'intention, le dessein d'enrichissement peut également être réalisé par dol éventuel (ATF 133 IV 21 consid. 6.1.2 p. 27 et les références citées ; arrêt du Tribunal fédéral 6B_635/2015 du 9 février 2016 consid. 3.1). Tel est le cas, selon la jurisprudence, lorsque l'auteur envisage l'enrichissement comme possible et agit néanmoins, même s'il ne le souhaite pas, parce qu'il s'en accommode pour le cas où il se produirait (ATF 105 IV 29 consid. 3a p. 36 ; cf. également ATF 123 IV 155 consid. 1a ; 121 IV 249 consid. 3a et les arrêts cités ; arrêt du Tribunal fédéral 6B_827/2008 du 7 janvier 2009, consid. 1.3). 3.2.1. En l'espèce, il est incontestable et au demeurant incontesté que l'appelant était au moment des faits directeur administratif et financier de C______ et avait, grâce à une vue d'ensemble constante sur celle-ci, une mainmise de fait sur la bonne marche de la société, dont il supervisait la gestion financière, et, plus généralement, du groupe C______ et E______. L'appelant était par ailleurs actionnaire de chacune des deux intimées. Il disposait d'une importante autonomie et indépendance sur le patrimoine de la société, et du groupe, ainsi que d'une grande liberté d'action, jouissant de la confiance inébranlable du Président du Conseil d'administration de C______ et actionnaire majoritaire du groupe C______ et E______, lequel ne vérifiait pas les documents que l'appelant lui demandait de viser ou, à tout le moins, pas dans le détail, et les réviseurs se contentant d'avaliser les comptes annuels sur la base de ces mêmes documents. Ainsi, nonobstant l'exigence d'une signature collective à deux pour engager la société, l'appelant parvenait à effectuer des paiements sans avoir à se justifier ni à rendre des comptes, étant précisé que le fait de disposer d'une signature individuelle n'est pas une condition pour l'admission de la qualité de gérant (ATF 100 IV 108 consid. 4). Il était aussi le supérieur hiérarchique et le superviseur des responsables des caisses physiques de l'entité suisse. Son salaire, bonus compris octroyé chaque année, était à la hauteur de ses responsabilités. Il ne fait dès lors aucun doute que l'appelant a revêtu la qualité de gérant des deux intimées. 3.2.2. En tant que directeur administratif et financier de C______, l'appelant était notamment chargé de s'occuper de la comptabilité, de la trésorerie et des questions fiscales de cette dernière. Il disposait ainsi d'un pouvoir de fait sur les biens administrés et était soumis aux obligations découlant du Code des obligations, administratives et réglementaires. L'appelant ne conteste pas avoir prélevé de nombreux montants dans les caisses de l'intimée C______, essentiellement à Genève, ni s'être octroyé sur son compte personnel, par des débits du compte postal de la société, plusieurs prélèvements, ou encore avoir fait usage des cartes de crédit professionnelles appartenant au groupe C______ et E______ à des fins privées et par des retraits d'espèces. Sa défense consiste en substance à prétendre qu'il y était légitimé par une pratique convenue, autorisée et adoptée par ses dirigeants eux-mêmes, dès lors que ces montants constituaient des prétendus salaires ou des avances sur bonus ou sur salaire inscrits dans la comptabilité de la société ou portés au crédit d'un "carnet du lait" qu'il pouvait dépenser comme bon lui semblait. Pour le surplus, il conteste la nature privée de certaines dépenses. Cette thèse ne résiste toutefois pas à l'examen du dossier. De manière générale, les parties et les témoins s'accordent à dire que la pratique des "carnets du lait" a formellement été abolie au début de l'année 2006, sur recommandations du réviseur. L'appelant prétend néanmoins que ce système aurait été toléré par la suite, raison pour laquelle il avait continué à l'utiliser, tout comme les autres membres de la société, ceci en violation du règlement et à l'insu du réviseur, soit hors comptabilité. Si cette affirmation est déjà difficilement concevable, il apparaît par ailleurs, qu'hormis N______, qui s'est dit trompé par l'appelant, ce dernier semble le seul à avoir fait usage de ce procédé après 2006. D'autres éléments, discutés infra , constituant un faisceau d'indices, au rang desquels figure en premier lieu le peu de crédibilité des déclarations de l'appelant, lesquelles ont été souvent approximatives et contredites pas celles concordantes et crédibles des parties plaignantes et des témoins, hormis V______, qui entretenait des rapports amicaux avec l'appelant et qui est revenu sur certaines affirmations, permettent à la CPAR de retenir qu'à première vue, ce dernier a agi entre 2006 et 2010, sous couvert d'un procédé abrogé et, partant, à l'insu des intimées. Il convient néanmoins d'analyser pour chacun des actes pris isolément si l'appelant a, dans un premier temps, violé son devoir de gestion et de sauvegarde et, dans un second temps, causé un dommage au groupe de manière intentionnelle, dans le but de se procurer un enrichissement illégitime. 3.2.3. L'appelant avait pris pour habitude d'effectuer des prélèvements directement dans les différentes caisses de la société ou de demander des avances aux personnes responsables desdites caisses, lesquelles travaillaient sous ses ordres. Selon les témoignages de S______ et T______, l'appelant agissait à Genève, contrairement aux autres employés, à des fins privées, sans fournir de justificatif détaillé ni remplir les formulaires établis à cet effet et, ce qu'il a admis devant le premier juge, sans que ces retraits n'apparaissent dans les livres de caisses et, partant, dans la comptabilité de l'intimée C______, quand bien même il en avait la responsabilité. Dès lors, en profitant de sa position de dirigeant pour prélever divers montants de manière indue, il a failli à ses devoirs de diligence et de fidélité, auxquels il était soumis en tant que personne chargée de veiller à la bonne gestion des intérêts pécuniaires de la société. Concernant le dommage, l'appelant argue qu'il remboursait rapidement ses prélèvements, que l'un des responsables de caisses était chargé de noter dans un récapitulatif détaillé. Or, si l'appelant a certes effectué des remboursements, notamment CHF 8'000.- en décembre 2010, il reste encore devoir, à tout le moins, la somme de CHF 20'000.-, ce qui démontre, conformément aux témoignages des deux responsables de caisses précités, que les montants prélevés n'étaient pas restitués à brève échéance. En outre, le fait qu'il se montre incapable d'établir avec précision la somme dont il est débiteur et qu'il conteste celle réclamée par les parties plaignantes, calculée notamment sur la base dudit récapitulatif détaillé, alors même que les ponctions effectuées ne ressortent pas de la comptabilité de la société, laisse supposer un dommage bien supérieur aux CHF 20'000.- reconnus, sans qu'il ne soit toutefois possible d'établir le total des prélèvements injustifiés. Il a agi avec conscience et volonté, ayant régulièrement été tenu informé des montants en souffrance, qu'il n'a, au demeurant, jamais contestés. Ce dommage constitue par ailleurs un enrichissement illégitime pour l'appelant, dès lors que ce dernier, au moment des faits, ne disposait pas de la capacité de rembourser les intimées, compte tenu du solde de ses relevés de comptes bancaires durant la période pénale. Son comportement démontre qu'il n'avait pas non plus la volonté de restituer les montants dérobés. En effet, sans compter le fait qu'il ne fournissait la plupart du temps aucun justificatif ou alors présentait des ersatz de factures, il agissait le plus souvent le soir, au moment où il se trouvait seul dans les bureaux, et avait demandé à S______ et T______ de dissimuler certains de ses prélèvements. 3.2.4. L'appelant a également procédé à de nombreux transferts sur son compte personnel depuis le compte postal de C______, justifiés selon lui au titre d'avances sur bonus ou sur salaire, soit d'une avance destinée à l'entreprise H______. Aux dires des parties plaignantes, C______ n'accordait pas d'avances sur salaire ni sur bonus, ce dernier étant versé aux employés en fin d'année ou en début d'année suivante, afin de récompenser leur performance, et variant en fonction des résultats de la société. Il semble néanmoins que ce principe ait souffert d'exceptions, dans la mesure où K______ a expliqué avoir voulu octroyer des bonus dans le courant des années 2008 et 2009, qu'il a qualifiées d'exceptionnelles, et où l'appelant a manifestement reçu une première part autorisée de son bonus 2010 en juin de la même année. D'ailleurs, en 2010, U______ avait découvert que des avances sur bonus avaient été versées à plusieurs employés. De son côté, l'appelant soutient, de manière quelque peu contradictoire, que des avances sur salaire et sur bonus étaient en réalité octroyées régulièrement, mais qu'il était le seul à en avoir perçues en 2009. Quoi qu'il en soit, peu importe que le système des avances sur salaire ou bonus ait ou non été pratiqué par la société durant la période pénale, dès lors qu'en réalité, il convient de savoir si l'appelant a été dûment autorisé à s'attribuer de telles avances en procédant aux transferts litigieux. A ce sujet, l'appelant soutient, de manière douteuse, que les avances n'étaient pas forcément soumises à autorisation et que les employés pouvaient fixer le montant de leur bonus à leur guise. Néanmoins, celles qu'il s'était lui-même versées en 2009 et 2010 depuis le compte postal de C______ auraient été avalisées par K______, alors même que l'unique pièce faisant état du prétendu consentement de ce dernier est peu claire et a été signée postérieurement aux versements intervenus en 2009. De plus, il admet avoir remboursé les sommes de CHF 40'000.- et CHF 70'000.- à la demande d'K______, au motif que ce dernier n'avait pas approuvé les avances sur bonus 2010. Il argue par ailleurs que ces avances auraient été dûment inscrites dans la comptabilité. Or, s'agissant, en particulier du transfert effectué en 2006 sur le compte personnel de l'appelant, prétendument destiné à l'entreprise H______, mais conservé par ce dernier, ledit transfert de CHF 20'000.- figure dans la comptabilité sous " référence H______ ", de sorte qu'à teneur de cette inscription, l'on est bien incapable de savoir qui en est le véritable débiteur, ce d'autant plus que l'appelant a précisé qu'il n'avait pas informé K______ de son réel bénéficiaire et qu'il a reconnu ne pas avoir été précis dans les écritures. Bien plus, dans la mesure où A______ a admis que le représentant de H______ avait finalement renoncé à percevoir cette avance, on ignore ce qui justifierait qu'il l'ait conservée sur son compte personnel au lieu de la restituer immédiatement puisqu'elle n'avait plus de raison d'être. Enfin, quand bien même ces avances auraient été autorisées, il n'en demeure pas moins que, de par leur nature, elles étaient destinées à être intégralement restituées ou déduites des bonus et salaires finalement attribués, ce que l'appelant concède, expliquant s'être mis d'accord avec K______ pour compenser les avances perçues en 2009, non pas sur le bonus de 2009, mais sur celui de 2010. Or, comme examiné infra , tel n'a pas été le cas. Ainsi, la Cour de céans retient que l'appelant s'est octroyé des avances en 2009 et 2010 par le biais de versements depuis le compte postal de C______, ceci sans y avoir été autorisé, abusant de sa facilité d'accès en ligne audit compte et de la confiance sans limite d'K______, lui faisant signer toutes sortes de documents à des moments inappropriés. Il a ainsi manifestement violé son devoir de gestion. Outre ce qui précède, il n'a pas compensé les avances sur bonus 2009 indûment obtenues, à savoir CHF 138'433.-, alors même qu'il a perçu l'intégralité dudit bonus, soit CHF 400'000.-. Concernant les avances qu'il s'est octroyées en 2010 d'un montant de CHF 85'364.- (CHF 30'00.- + CHF 3'000.- + CHF 52'364.-), il prétend certes avoir remboursé, à ce titre, la somme de CHF 110'000.-. Il a malgré tout encore reçu CHF 40'000.- de bonus pour l'année 2010, lequel ne lui a été accordé qu'en partie, compte tenu de la découverte de ses agissements en janvier 2011. Les indemnités payées par l'assurance perte de gain maladie en CHF 72'500.-, qu'il s'est illicitement reversées en mars 2010, n'ont pas non plus été déduites de ses salaires. Il est cependant impossible de chiffrer précisément le dommage causé à la société, dès lors que l'appelant, bien qu'au bénéfice d'un certificat d'arrêt maladie de quatre mois en 2009, n'aurait en réalité cessé de travailler qu'une seule journée. S'agissant enfin des CHF 20'000.- perçus en 2006 en lien avec H______, l'appelant a reconnu en être encore débiteur. Au vu de ce qui précède, la Cour tient pour établi que l'appelant a effectué indûment une multitude de versements sur son compte personnel depuis celui de C______ sans qu'il ne soit toutefois possible d'établir avec précision le dommage subi par celle-ci. Entre le 31 décembre 2006 et le 31 décembre 2010, l'appelant n'était pas en mesure de rembourser en tout temps les avances perçues. Mais surtout, il a privilégié le paiement de nombreuses dettes personnelles avec son bonus 2009, soutenant avoir envisagé de restituer dans le courant de l'année 2010 les avances 2009. Force est de constater toutefois qu'il n'en a remboursé qu'une faible partie, au demeurant sur requête d'K______, et a continué à se transférer de l'argent. Il n'a, de ce fait, pas agi en vue de compenser une éventuelle créance, ni de se payer, mais bien avec l'intention de s'enrichir davantage. La CPAR retient encore que l'attitude de l'intéressé était incompatible avec la conduite irréprochable et transparente dont il tente de se prévaloir. En effet, selon T______, l'appelant avait en particulier tenté de dissimuler les CHF 20'000.- débités du compte postal de la société, ce dernier ayant reconnu avoir manqué de rigueur dans leur comptabilisation. A en croire U______, l'appelant avait également demandé à son assistant d'attendre son retour de vacances pour présenter les états financiers au 30 juin 2010, alors même qu'ils étaient finalisés, ce qu'V______ n'a pas démenti, ce qui asseoit l'idée qu'il a voulu cacher son enrichissement illégitime. 3.2.5. Entre janvier 2006 et janvier 2011, l'appelant a enfin utilisé deux cartes de crédit de son employeur pour procéder à des retraits ou à d'autres dépenses à des fins privées, ceci en violation du règlement de la société, ce qu'il ne conteste pas, indiquant qu'il agissait ainsi pour diminuer le montant de ses avoirs inscrits dans son "carnet du lait". Or, comme indiqué supra (voir ch. 3.2.2), l'utilisation de ces carnets a été autorisée jusqu'à la fin de l'année 2005 seulement, si bien qu'à partir de cette date, en agissant de la sorte, il a violé son devoir de gestion. Les parties plaignantes chiffrent les dépenses privées effectuées indûment par l'appelant entre 2006 et 2010 à CHF 249'264.- au total. De son côté, l'appelant reconnaît avoir dépensé CHF 226'651.-, durant cette même période, à des fins personnelles avec des cartes de crédit devant à l'évidence être utilisées à des fins professionnelles, ce qui constitue en soi un indice sérieux de culpabilité. La différence d'environ CHF 22'000.- provient donc du désaccord entre les parties concernant la nature professionnelle ou non de certaines dépenses. D'emblée, la Cour constate que les montants significatifs en cause apparaissent sans commune mesure avec les besoins d'un directeur administratif et financier, n'ayant qu'un rôle de représentation auprès des fournisseurs, des informaticiens ou encore des réviseurs, mais non auprès de la clientèle, surtout en comparaison avec ceux d'ordre professionnel et moins élevés d'K______ et ses fils, chargés eux des relations avec de potentiels clients. L'appelant soutient en outre que ses dépenses auraient été en grande partie compensées par le crédit dont il disposait, inscrit dans ce carnet, qu'il considérait comme un véritable compte-courant entre lui-même et la société. Il n'est toutefois parvenu à reconstituer son "carnet du lait" qu'avec difficulté et, partant, à établir l'origine de ses prétendus avoirs. En particulier, il est surprenant de constater qu'il a continué à se créditer le montant de la taxe militaire, qu'il n'était plus tenu de payer, au vu de son âge. Quoi qu'il en soit, dans la mesure où l'appelant admet devoir le montant de CHF 41'106.45 à ce titre, partie selon lui " non compensée ", il y a tout lieu de considérer que le dommage finalement causé au groupe C______ et E______, sans qu'il ne soit possible de l'établir avec précision, équivaut au minimum audit montant. A nouveau, la Cour retient que l'appelant a agi avec l'intention de s'enrichir. Ainsi, il ressort des déclarations de T______ que l'appelant, contrairement aux autres titulaires de cartes de crédit, en conservait les relevés et ne fournissait pas les factures ni les quittances y relatives, ce qui a également été partiellement confirmé par V______. L'appelant a de plus confessé n'avoir aucune idée des montants qu'il avait ainsi dépensés. Il les avait cependant selon lui soit consciencieusement inscrits dans son "carnet du lait", soit remboursés. Or, d'une part, il a pris du retard dans la tenue dudit carnet et s'est montré incapable au cours de l'instruction de se souvenir du motif de chacune de ses dépenses et, d'autre part, il est encore à ce jour débiteur de plus de CHF 40'000.- envers le groupe à ce titre. 3.2.6. Il résulte de ce qui précède que l'appelant a, durant plusieurs années, de façon exponentielle, procédé à des prélèvements indus dans la caisse et sur le compte postal, respectivement utilisé les deux cartes de crédit de son employeur à des fins purement privées et sans justificatifs pour des centaines de milliers de francs en tablant sur le fait qu'il recevrait ultérieurement un bonus, dont il fixait le montant à son entière discrétion, pouvant lui permettre de les compenser. Il a agi avec un mépris complet des intérêts des sociétés du groupe l'employant, faisant fi du règlement et des pratiques en cours, et profitant sans vergogne de l'entière confiance et de la liberté dont il jouissait. C'est ainsi à juste titre que le premier juge a considéré que l'appelant avait gravement violé ses devoirs de gestion occasionnant un dommage aux parties plaignantes et l'a ainsi reconnu coupable de gestion déloyale au préjudice des précitées avec la circonstance aggravante du dessein d'enrichissement illégitime (art. 158 ch. 1 al. 3 CP), de sorte que le jugement entrepris sera confirmé sur ce point. 3.3.1. Aux termes de l’art. 162 CP, se rend coupable de violation du secret de fabrication ou du secret commercial, celui qui aura révélé un tel secret alors qu’il était tenu de le garder en vertu d’une obligation légale ou contractuelle (al. 1), ou celui qui aura utilisé cette révélation à son profit ou au profit d'un tiers (al. 2). 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l'art. 162 al. 1 CP et le tiers qui a mis à profit ces informations l'est également en vertu de l'art. 162 al. 2 CP (ATF 109 Ib 47 consid. 5.c). Le comportement punissable comporte deux variantes, à savoir la violation du secret ou son exploitation. Dans le premier cas, le secret est rendu accessible à un tiers non autorisé par celui qui devait le garder (B. CORBOZ, Les infractions en droit suisse, vol. I , 3 e éd., Berne 2010, n. 12 ad art. 162 CP et référence citée). S'agissant de la violation du secret professionnel, le secret doit être gardé même à l'égard d'une autorité (B. CORBOZ, Les infractions en droit suisse, vol. II , 3 e éd., Berne 2010, n. 74 ad art. 321 CP). L'obligation de diligence et de fidélité incombe en particulier aux travailleurs en vertu de l'art. 321a al. 4 CO. L'obligation de garder le secret subsiste après la fin du contrat de travail en tant que l'exige la sauvegarde des intérêts légitimes de l'employeur et indépendamment de l'existence d'une clause d'interdiction de concurrence. L'intérêt légitime au maintien du secret est présumé (Arrêt du Tribunal pénal fédéral SK.2007.3 du 12 juin 2007 consid. 3.3.2. et 3.3.3 et les références citées). Lorsque le travailleur est également membre d'un organe d'une société, la double qualification de cette relation a pour conséquence que l'organe qui est en même temps un employé doit respecter non seulement le devoir de fidélité de l'employé (art. 321a CO), mais aussi le devoir de fidélité d'un membre du conseil d'administration ou de la direction selon l'art. 717 CO. Si une violation du devoir de fidélité est en cause, on doit donc examiner séparément si c'est l'un ou l'autre qui a été violé. Il s'avère en règle générale que le devoir de fidélité découlant du droit des sociétés va plus loin que celui qui découle du droit du travail (ATF 130 III 213 consid. 2.1 = JdT 2004 I 223).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 il peut s'agir notamment de connaissances relatives à l'organisation, au calcul des prix, à la publicité, à la production et à la liste des clients. Un projet de fusion, de regroupement ou de prise de participation est également couvert par le secret commercial (arrêts du Tribunal fédéral 1B_447/2015 du 25 avril 2016 consid. 4.1 ; 6B_496/2007 du 9 avril 2008 consid. 5.1 ; ATF 118 Ib 559 consid. 5a ; 109 Ib 47 consid. 5c ; 103 IV 284 consid. 2 b et les références citées ; B. CORBOZ, op cit . n. 8 ad art. 162 CP). De telles informations ne doivent être tenues secrètes que lorsque le chef d'entreprise a exigé le respect du secret expressément ou tacitement (arrêt du Tribunal fédéral 1B_447/2015 du 25 avril 2016 consid. 4.1 ; ATF 103 IV 283 consid. 2b in fine p. 284). L'infraction est intentionnelle (B. CORBOZ, op. cit. , n. 16 ad art. 162 CP). 3.3.2. Selon l'art. 14 CP, celui qui agit comme la loi l'ordonne ou l'autorise se comporte de manière licite, même si l'acte est punissable. Toutefois, pour être justifié par la loi, le comportement devra respecter les principes de proportionnalité et de subsidiarité (ATF 141 IV 417 ; R. ROTH / L. MOREILLON [éds], Code pénal I : art. 1-100 CP , Bâle 2009, n. 4 ad art. 14-18). L'existence de faits justificatifs non prévus par la loi peut être admise lorsque pour sauvegarder des intérêts légitimes l'auteur a usé de moyens nécessaires et adaptés au but visé, que l'acte (ordinairement illicite) constitue la seule voie possible et qu'il apparaisse manifestement moins important que les intérêts dont l'auteur a voulu assurer la sauvegarde (ATF 113 IV 4 consid. 3 p. 6 s. et les références).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(ATF 134 IV 216 consid. 6.1 p. 226 et les références ; arrêt du Tribunal fédéral 6B_599/2015 du 25 février 2016 consid. 2.3.1).</w:t>
      </w:r>
    </w:p>
    <w:p>
      <w:r>
        <w:rPr>
          <w:b/>
        </w:rPr>
        <w:t>E. 3.4</w:t>
      </w:r>
    </w:p>
    <w:p>
      <w:r>
        <w:t>En l’espèce, il est établi qu'en signant le règlement du personnel, l'appelant s'est engagé à ne pas divulguer " tous les documents de travail, dossiers et autres utilisés dans le cadre de l'exécution du contrat de travail " le liant à C______ ainsi qu'à ne pas utiliser ou exploiter ces documents. En outre, en sa qualité de directeur administratif et financier de cette dernière, l'appelant exerçait des fonctions qui impliquaient un devoir de fidélité accru, puisqu'il disposait notamment d'un accès aux pièces comptables et fiscales et travaillait en étroite collaboration avec le réviseur externe et l'expert-comptable de la société. Par ailleurs, comme indiqué supra (voir ch. 3.2.1), l'appelant était gérant de fait des deux intimées, compte tenu de sa position hiérarchique, de ses responsabilités et de son autonomie. Ainsi, en sus de son obligation contractuelle, l'appelant, en tant que membre de la direction du groupe C______ et E______, avait une double obligation légale de diligence et de fidélité envers les parties plaignantes, découlant tant de l'art. 324a al. 4 CO, que de l'art. 717 CO. L'appelant était donc soumis au secret vis-à-vis des affaires des intimées. Reste à savoir si les documents transmis par l'appelant étaient couverts par le secret commercial, respectivement s'ils ont été révélés à un tiers non autorisé. Il est indéniable, à teneur de la jurisprudence et de la doctrine rappelés supra , qu'un mémorandum relatif à la restructuration d'une entreprise commerciale et, partant, à son organisation, doit être considéré comme un secret commercial au sens de l'art. 162 CP. Le deuxième document, à savoir le mémorandum destiné à C______, ayant été élaboré par les avocats de la société et faisant partie du dossier fiscalité, que l'appelant transportait avec lui, avait été transmis à ce dernier pour lui permettre d'effectuer l'activité qui était la sienne au sein de la précitée et non pour le produire en justice dans un but de revendication salariale, ce dont il était conscient. Quant au projet de rapport d'audit prudentiel et au rapport d'évaluation de C______, lesquels visent à examiner si les prescriptions du droit de la surveillance sont respectées et si les conditions sont réunies pour qu’elles continuent de l’être, respectivement à estimer la valeur commerciale d'une entreprise, leur nature confidentielle ne fait aucun doute, étant précisé que les informations contenues dans ces documents pouvaient avoir une incidence sur le résultat des entités plaignantes. L'appelant a agi avec conscience et volonté. Ainsi, même si aucune directive spécifique n'avait été donnée à ce sujet, le rapport d'évaluation de C______ a été distribué exclusivement à ses actionnaires dans un but spécifique, soit les tenir informés, non pas pour qu'il soit diffusé à des tiers. Enfin, l'appelant a déclaré avoir produit l'audit prudentiel dans sa procédure au Tribunal des prud'hommes, alors même qu'il savait qu'il s'agissait d'une pièce confidentielle, qu'il ne pouvait pas sortir de la société. Au surplus, l'appelant ayant utilisé ces documents afin de faire valoir ses droits vis-à-vis des intimées, il ne peut légitimement soutenir ne pas avoir voulu leur porter préjudice. Il est donc établi que l'appelant a transmis, lui-même, et intentionnellement plusieurs documents, couverts par le secret commercial des parties plaignantes, à son conseil, qui les a déposés, au nom et pour le compte de son client, au tribunal précité, lequel n'est pas un tiers autorisé. L'appelant tente de justifier ses agissements par la nécessité de sauvegarder ses intérêts légitimes devant la juridiction des prud'hommes. Il n'avait toutefois nullement besoin, au vu de leur teneur, de produire les documents litigieux pour faire valoir ses prétentions salariales par-devant cette juridiction. Au demeurant, quand bien même lesdits documents auraient été indispensables à la défense de ses intérêts, il aurait, comme relevé à juste titre par le premier juge, pu demander, en tous les cas dans un premier temps, leur production par les parties plaignantes. Ainsi la remise par ses soins au Tribunal des prud'hommes de ces documents couverts par le secret commercial ne constituait ni un moyen nécessaire, ni unique, ni approprié pour la défense d'intérêts légitimes d'une importance nettement supérieure à celle des biens protégés par la disposition violée.</w:t>
      </w:r>
    </w:p>
    <w:p>
      <w:r>
        <w:rPr>
          <w:b/>
        </w:rPr>
        <w:t>E. 3.5</w:t>
      </w:r>
    </w:p>
    <w:p>
      <w:r>
        <w:t>Les agissements de l'appelant remplissant les éléments constitutifs objectifs et subjectifs de l'infraction visée à l'art. 162 CP, c'est à juste titre que le premier juge l'a reconnu coupable de violation du secret de fabrication ou du secret commercial au sens de cette disposition, de sorte que le jugement sera confirmé sur ce point également.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4.2</w:t>
      </w:r>
    </w:p>
    <w:p>
      <w:r>
        <w:t>Sur le plan objectif, seules les peines de six mois à deux ans peuvent être assorties du sursis total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4.4</w:t>
      </w:r>
    </w:p>
    <w:p>
      <w:r>
        <w:t>A______ a été reconnu coupable de gestion déloyale aggravée (art. 158 al. 1 ch. 3 CP) et de violation du secret de fabrication ou du secret commercial (art. 162 CP), soit d'un crime (art. 10 al. 2 CP) et d'un délit (art. 10 al. 3 CP). Entre 2006 et 2011, l'appelant qui occupait le poste de directeur administratif et financier et bénéficiait de la confiance du directeur général de C______, n'a pas hésité a violé les devoirs de sa charge en prélevant des espèces dans les caisses de cette dernière ainsi que des fonds sur son compte postal et en utilisant les cartes de crédits du groupe C______ et E______ à des fins personnelles. Il a ainsi agi à réitérées reprises au détriment des deux parties plaignantes avec un mépris complet, faisant fi du règlement et des pratiques en cours et n'ayant pas eu l'intention de les rembourser, ou tout au plus que très partiellement. Il a dilapidé l'enrichissement obtenu pour ses dépenses personnelles, alors même qu'il bénéficiait d'un revenu confortable, considérant qu'il avait le droit de s'octroyer des rémunérations supplémentaires, dont il fixait le montant à son entière discrétion. Il a ainsi agi par pur appât du gain sur une longue période, qui a pris fin uniquement par la découverte de ses agissements. La faute est importante compte tenu également du montant élevé, bien que difficilement chiffrable, du préjudice subi. Non content de ce qui précède, alors qu'il s'est, par la suite, retrouvé opposé aux parties plaignantes dans le cadre d'une procédure prud'homale, il a encore produit divers documents les concernant couverts par le secret commercial, toujours pour servir égoïstement ses propres intérêts, sans se soucier du préjudice causé aux intimées. Les deux infractions, qui entrent en concours (art. 49 al. 1 CP), sont graves et protègent plusieurs biens juridiques, soit la valeur du patrimoine d'autrui et les secrets de fabrication ou commerciaux, ce qui justifie une augmentation de la peine la plus grave dans une juste proportion. La situation personnelle stable et favorable de l'appelant au moment d'agir ne permet pas de comprendre le passage à l'acte. Sa responsabilité pénale est entière et aucune des circonstances atténuantes prévues à l'art. 48 CP, autre que celle de l'écoulement du temps (art. 48 let. e CP) s'agissant du crime de gestion déloyale aggravée (art. 158 ch. 1 al. 3 CP), telle que retenue à juste titre par le premier juge, n'est réalisée ni d'ailleurs plaidée. La collaboration de l'appelant à l'enquête a été mauvaise, n'ayant cessé de minimiser ses agissements et se réfugiant régulièrement derrière la confiance que lui témoignait K______, dont il a manifestement abusé, et dénote d'une absence de prise de conscience du caractère répréhensible de ses actes. Il n'a pas d'antécédents judiciaires, élément neutre dans la fixation de la peine (ATF 136 IV 1 consid. 2.6). Ainsi, la peine privative de liberté de 20 mois prononcée par le premier juge est conforme aux principes dégagés à l'art. 47 CP et adaptée à la culpabilité de l'appelant. L'octroi du sursis lui est acquis (art. 391 al. 2 CPP). La durée du délai d'épreuve, fixée à trois ans, est de nature à inciter l'appelant à ne plus récidiver.</w:t>
      </w:r>
    </w:p>
    <w:p>
      <w:r>
        <w:rPr>
          <w:b/>
        </w:rPr>
        <w:t>E. 5</w:t>
      </w:r>
    </w:p>
    <w:p>
      <w:r>
        <w:t>5.1.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En appel, les parties plaignantes obtenant gain de cause, l'indemnité requise de CHF 3'098.25, pour leurs frais de défense, à la moyenne horaire de CHF 230.-, laquelle est adéquate compte tenu des critères susmentionnés, sera mise à la charge de l'appelant en application de l'art. 433 al. 1 let. a CPP.</w:t>
      </w:r>
    </w:p>
    <w:p>
      <w:r>
        <w:rPr>
          <w:b/>
        </w:rPr>
        <w:t>E. 6</w:t>
      </w:r>
    </w:p>
    <w:p>
      <w:r>
        <w:t>Vu l'issue de la procédure d'appel, A______ sera débouté de ses conclusions en indemnisation (art. 429 al. 1 let. a à c CPP a contrario ).</w:t>
      </w:r>
    </w:p>
    <w:p>
      <w:r>
        <w:rPr>
          <w:b/>
        </w:rPr>
        <w:t>E. 7</w:t>
      </w:r>
    </w:p>
    <w:p>
      <w:r>
        <w:t>L'appelant, qui succombe, supportera les frais de la procédure d'appel (art. 428 CPP), lesquels comprennent un émolument de jugement de CHF 4'000.-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