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P/7150/2020 vom 3. September 2020</w:t>
      </w:r>
    </w:p>
    <w:p>
      <w:r>
        <w:t>GE Cour de justice, 2020-09-03, FR</w:t>
      </w:r>
    </w:p>
    <w:p>
      <w:r>
        <w:rPr>
          <w:b/>
        </w:rPr>
        <w:t xml:space="preserve">Quelle: </w:t>
      </w:r>
      <w:r>
        <w:t>https://mcp.opencaselaw.ch/entscheid/ge_gerichte_P_7150_2020</w:t>
      </w:r>
    </w:p>
    <w:p>
      <w:r>
        <w:t>FR: GE_GERICHTE P/7150/2020 du 3 septembre 2020</w:t>
      </w:r>
    </w:p>
    <w:p>
      <w:r>
        <w:t>IT: GE_GERICHTE P/7150/2020 del 3 settembre 2020</w:t>
      </w:r>
    </w:p>
    <w:p>
      <w:pPr>
        <w:pStyle w:val="Heading2"/>
      </w:pPr>
      <w:r>
        <w:t>Regeste</w:t>
      </w:r>
    </w:p>
    <w:p>
      <w:r>
        <w:t>ESCROQUERIE;INTERNET;ENTRAIDE JUDICIAIRE PÉNALE;PROPORTIONNALITÉ | CPP.310; CP.146</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ne prend pas de conclusions formelles, mais on peut déduire de ses écritures qu'il conteste la non-entrée en matière sur sa plainte pénale et se plaint du refus de procéder à des commissions rogatoires.</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Une non-entrée en matière peut également se justifier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Il en va ainsi, par exemple, si les investigations possibles doivent se dérouler, sur commissions rogatoires, dans un pays étranger pour tenter de découvrir les auteurs de l'infraction, notamment les détenteurs d'adresses IP. Ces dernières pourraient vraisemblablement être localisées dans d'autres contrées, voire ne plus exister actuellement. Il sied dans un tel cadre de mettre en balance les intérêts en jeu (arrêt du Tribunal fédéral 1B_67/2012 du 29 mai 2012 consid. 3.2 ; ACPR/402/2019 du 31 mai 2019 consid. 3.1). Le caractère proportionné de l'enquête à mener est aussi prévue par la jurisprudence relative à l'art. 4 CEDH qui impose " une exigence de célérité et de diligence raisonnable " (CourEDH Rantsev c. Chypre et Russie du 7 janvier 2010, requête no 25965/04).</w:t>
      </w:r>
    </w:p>
    <w:p>
      <w:r>
        <w:rPr>
          <w:b/>
        </w:rPr>
        <w:t>E. 3.2</w:t>
      </w:r>
    </w:p>
    <w:p>
      <w:r>
        <w:t>À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cependant pas ;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L'astuce n'est en revanche pas réalisée si la dupe pouvait se protéger avec un minimum d'attention ou éviter l'erreur avec le minimum de prudence que l'on pouvait attendre d'elle (ATF 135 IV 76 consid. 5.2). Si l'acte ne vise qu'un élément patrimonial de faible valeur ou un dommage de moindre importance, l'auteur est puni d'une amende (art. 172ter al. 1 CP). Un élément patrimonial est de faible valeur s'il ne vaut pas plus de CHF 300.- (ATF 122 IV 156 consid. 2a).</w:t>
      </w:r>
    </w:p>
    <w:p>
      <w:r>
        <w:rPr>
          <w:b/>
        </w:rPr>
        <w:t>E. 3.3</w:t>
      </w:r>
    </w:p>
    <w:p>
      <w:r>
        <w:t>En l'espèce, le recourant se plaint d'avoir été victime d'une " vaste escroquerie " sur le site de rencontres Idates, lequel appartiendrait à la société B______, sise à l'étranger. Le recourant n'explique cependant pas dans quelles conditions il a été amené à s'intéresser au site incriminé ni les étapes qui l'ont conduit à payer pour échanger des messages avec les femmes dont Idates proposait les profils. Au vu des commentaires négatifs recueillis sur Internet au sujet de ce site, que le recourant a lui-même produits, l'existence d'une tromperie astucieuse paraît devoir être écartée. Un des éléments constitutifs de l'infraction d'escroquerie fait ainsi défaut, de sorte que l'ordonnance querellée doit être confirmée, pour ce motif déjà.</w:t>
      </w:r>
    </w:p>
    <w:p>
      <w:r>
        <w:rPr>
          <w:b/>
        </w:rPr>
        <w:t>E. 3.4</w:t>
      </w:r>
    </w:p>
    <w:p>
      <w:r>
        <w:t>Le recourant affirme par ailleurs que les auteurs présumés des faits dénoncés sont " un président et deux autres complices ". Or, il n'a pas communiqué l'identité de ceux-ci et aucun acte d'enquête raisonnable, mené en Suisse, ne paraît à même de la déterminer. En effet, seules des investigations aux Pays-Bas, au siège de la société, sur commission rogatoire, permettrait éventuellement d'obtenir les coordonnées des animateurs du site. Il en va de même de la potentielle découverte des détenteurs des adresses IP utilisées pour converser sur le site de rencontres incriminé. Ces dernières pourraient vraisemblablement être localisées dans d'autres contrées que les Pays-Bas, voire ne plus exister actuellement. Il est souligné à cet égard que le site de rencontre facture ses clients, selon le recourant, en dollar canadien, ce qui laisse présumer une potentielle connexité territoriale avec le Canada, en sus de celle existant avec les Pays-Bas. Les investigations possibles devraient ainsi se dérouler, sur commission rogatoire, à tout le moins dans ces deux derniers pays. De plus, la découverte d'adresses IP ne permettrait pas encore de connaître l'identité des personnes qui les utilisent, les auteurs prenant généralement soin de dissimuler leurs traces en se connectant via un réseau public ou en ne fournissant pas des coordonnées réelles ou conformes à la réalité. Il en découle qu'il faudrait procéder notamment à une analyse du journal des connexions des adresses IP, afin de dépister l'/les auteur(s) des prétendus faux profils féminins. Dans ces conditions, les chances de découvrir les auteurs des infractions dénoncées sont extrêmement restreintes, pour ne pas dire inexistantes, et doivent être mises en balance avec le coût, la durée et la complexité des démarches devant être entreprises. Ainsi, de tels actes d'instruction apparaissent manifestement disproportionnés et excessifs au regard du complexe de faits et du dommage subi par le recourant, quand bien même celui-ci ne serait pas de peu d'importance. Partant, c'est à bon droit que le Ministère public a estimé que ces éléments devaient conduire à une non-entrée en matière.</w:t>
      </w:r>
    </w:p>
    <w:p>
      <w:r>
        <w:rPr>
          <w:b/>
        </w:rPr>
        <w:t>E. 4</w:t>
      </w:r>
    </w:p>
    <w:p>
      <w:r>
        <w:t>Justifiée, l'ordonnance querellée sera donc confirmée.</w:t>
      </w:r>
    </w:p>
    <w:p>
      <w:r>
        <w:rPr>
          <w:b/>
        </w:rPr>
        <w:t>E. 5</w:t>
      </w:r>
    </w:p>
    <w:p>
      <w:r>
        <w:t>Le recourant, qui succombe, supportera les frais envers l'État, fixés en totalité à CHF 700.-, émolument de décision compris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