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P/7146/2018 vom 20. Juni 2018</w:t>
      </w:r>
    </w:p>
    <w:p>
      <w:r>
        <w:t>GE Cour de justice, 2018-06-20, FR</w:t>
      </w:r>
    </w:p>
    <w:p>
      <w:r>
        <w:rPr>
          <w:b/>
        </w:rPr>
        <w:t xml:space="preserve">Quelle: </w:t>
      </w:r>
      <w:r>
        <w:t>https://mcp.opencaselaw.ch/entscheid/ge_gerichte_P_7146_2018</w:t>
      </w:r>
    </w:p>
    <w:p>
      <w:r>
        <w:t>FR: GE_GERICHTE P/7146/2018 du 20 juin 2018</w:t>
      </w:r>
    </w:p>
    <w:p>
      <w:r>
        <w:t>IT: GE_GERICHTE P/7146/2018 del 20 giugno 2018</w:t>
      </w:r>
    </w:p>
    <w:p>
      <w:pPr>
        <w:pStyle w:val="Heading2"/>
      </w:pPr>
      <w:r>
        <w:t>Regeste</w:t>
      </w:r>
    </w:p>
    <w:p>
      <w:r>
        <w:t>ERREUR SUR LES FAITS(DROIT PÉNAL) ; RECHERCHE SECRÈTE ; INVESTIGATION SECRÈTE ; ENTRÉE ILLÉGALE | CPP.10; CPP.289; CPP.298.letA; CP.12; CP.13; LEtr.115.al1; LEtr.115.al3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quotité de la peine (let. b).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 le doute doit profiter au prévenu ( cf . ATF 143 IV 500 consid. 1.1 p. 503 ; arrêt du Tribunal fédéral 6B_377/2018 du 22 août 2018 consid. 1.1). Ce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dispose d'un large pouvoir dans l'appréciation des preuves (ATF 120 Ia 31 consid. 4b p. 40). Confronté à des versions contradictoires, il forge sa conviction sur la base d'un ensemble d'éléments ou d'indices convergents sur la base de tous les éléments du dossier.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Le fait que l'un ou l'autre des indices ou éléments, ou même chacun d'eux pris isolément, soit insuffisant ne doit ainsi pas conduire systématiquement à un acquittement. La libre appréciation des preuves implique que l'état de fait retenu pour construire la solution doit être déduit des divers éléments et indices, examinés et évalués dans leur ensemble (arrêts du Tribunal fédéral 6B_1169/2017 du 15 juin 2018 consid. 1.1 ; 6B_608/2017 du 12 avril 2018 consid. 3.1 et les références).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arrêt du Tribunal fédéral 6B_1306/2017 du 17 mai 2018 consid. 2.1.1 ; M. NIGGLI / M. HEER / H. WIPRÄCHTIGER [éds], Strafprozessordnung / Jugendstrafprozessordnung, Basler Kommentar StPO/JStPO, 2ème éd., Bâle 2014, n. 83 ad art. 10). 2.1.3.1. Au sens de l'art. 298a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(al. 1). Les agents affectés aux recherches secrètes ne sont pas munis d'une identité d'emprunt au sens de l'art. 285 a . Leur identité véritable et leur fonction figurent dans les dossiers de procédure et sont divulguées lors d'auditions (al. 2). 2.1.3.2. La mission d'un agent infiltré est soumise à l'autorisation du Tribunal des mesures de contrainte (art. 289 al. 1 CPP). Faute de critères clairs et univoques dans la loi fédérale sur l'investigation secrète, du 20 juin 2003 (LFIS ; RS 312.8) (reprise telle quelle sur ces questions dans le CPP), le Tribunal fédéral rejette l'idée d'un seuil en-deçà duquel l'approbation judiciaire ne serait pas nécessaire pour une opération sous couverture. Même un achat de drogue isolé par un policier peut constituer une opération sous couverture (arrêt du Tribunal fédéral 6B_837/2009 du 8 mars 2010 consid. 3.3). Ce qui est déterminant, c'est la prise de contact, soit un comportement actif, à des fins de transaction, entre un policier non reconnaissable comme tel et un vendeur de drogue. L'art. 23 de la LStup n'a plus, dans ce contexte, que la valeur d'un fait justificatif, rendant le policier non punissable. Il s'ensuit que les policiers genevois qui se font, passivement, proposer des stupéfiants dans la rue courent le risque d'être considérés comme des infiltrés « non autorisés » s'ils vont au-delà du flagrant délit (par exemple en prenant rendez-vous pour un achat ultérieur, ou en cherchant à augmenter la quantité). 2.1.4.1. L'art. 12 al. 3 CP dispose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Dans un tel cas, l'auteur a agi sans se rendre compte (négligence inconsciente) ou sans tenir compte (négligence consciente) des conséquences de son acte (arrêt du Tribunal fédéraL 6B_607/2010 du 5 novembre 2010 consid. 4). 2.1.4.2.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L'intention de réaliser la disposition pénale en question fait défaut dans ce cas. Dans une telle configuration, l'auteur doit être jugé selon son appréciation erronée, si celle-ci lui est favorable. La punissabilité de la négligence entre éventuellement en ligne de compte lorsque l'erreur aurait pu être évitée en usant des précautions voulues et lorsque la commission par négligence de cet acte est réprimée par la loi (arrêt du Tribunal fédéral 6B_173/2009 du 18 juin 2009 consid. 3.1.3). L'erreur ne peut conduire à un acquittement que si elle est excusable (M. DUPUIS / B. GELLER / G. MONNIER / L. MOREILLON / C. PIGUET / C. BETTEX / D. STOLL [éds], Code pénal - Petit commentaire, Bâle 2012, nos 18-19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 2.2.1. En l'espèce, le dossier ne permet pas de conclure que l'inspecteur F______ a joué le rôle d'un agent infiltré provocateur à même de convaincre l'appelant d'adopter un comportement de vente de drogue qu'il n'aurait pas eu envers tout tiers. Au contraire, il est relevé que le policier s'est limité à une recherche secrète au sens de l'art. 298a CPP. D'une part, la quantité sur laquelle a porté la transaction ne permet ni de considérer que l'agent a dépassé le cadre d'un flagrant délit en suscitant une démarche de vente au-delà de la quantité de base que représente une boulette ou des achats futurs. Par ailleurs, les éléments rapportés dans le rapport d'arrestation sont cohérents et concordent avec les déclarations des policiers intervenus le jour des faits. Au vu du déroulement décrit et tel que rapporté, le fait que l'inspecteur F______ a d'abord fait référence à un échange suivi d'une arrestation puis mentionné ultérieurement qu'il ne se souvenait pas précisément de l'échange drogue-argent ne remet pas en question ce qui apparaît établi, et est non contesté, soit que l'appelant a bien été chercher une boulette auprès de B______ pour la remettre contre espèces à l'inspecteur F______, ce qui entre dans le cadre des faits décrits par le témoin. D'autre part, il faut relever que la version des faits rapportée par l'appelant, selon laquelle son co-prévenu lui avait remis son unique boulette contre dédommagement, ne correspond aucunement à celle de B______. En effet, ce dernier a rapporté que l'appelant lui avait dit qu'il avait un client pour une boulette et qu'il avait faim, suite à quoi B______ lui en avait remis une gracieusement. A cela s'ajoute le contexte général du déroulement des évènements, tel que décrit par l'appelant, qui laisse peu de crédibilité à sa version des faits de bon samaritain. Il a su, pour sa part, se déplacer et s'adresser efficacement et directement à la bonne personne, pourtant inconnue, qui, curieusement, détenait effectivement de la cocaïne, en vue de procéder à un échange d'une boulette contre la somme de CHF 100.-. Selon ce qu'il décrit, il eut pourtant suffi à l'appelant de mettre en contact l'inspecteur F______ avec B______, lequel n'a pas fait état d'une aide à un toxicomane. On peine également à distinguer la motivation du comportement de supplication prêté à la police en regard des instructions claires à appliquer dont les inspecteurs ont fait état. Il faut d'ailleurs rappeler que la vente de stupéfiants est un comportement déjà connu chez l'appelant puisque qu'il a été condamné pour infraction à l'art. 19 al. 1 LStup moins d'un an avant les faits. A ce tableau, s'ajoute encore que la seule personne qui aurait éventuellement pu témoigner en faveur de l'appelant, selon sa version, se refuserait à le faire par peur de la police française. En définitive, l'appréciation des faits conduit la Cour à relativiser entièrement la version présentée par A______ et considérer que ce dernier a bien volontairement et spontanément proposé de la cocaïne à l'inspecteur F______, tel que cela figure dans le rapport d'arrestation. Le jugement de culpabilité pour infraction à la LStup sera donc confirmé et l'appel rejeté sur ce point. 2.2.2. S'agissant de l'entrée illégale en Suisse commise par négligence, l'appelant ne saurait mettre sur le compte de sa culture et de sa situation personnelle le fait qu'il n'a pris aucune précaution, ce qu'il ne conteste pas, pour savoir si l'interdiction d'entrée en Suisse était toujours valable ou non. On peut d'ailleurs très fortement douter qu'il ne l'ait pas su mais le premier juge ayant conclu à ce qu'il avait agi par négligence, cette question, en vertu de l'interdiction de la reformatio in pejus , n'est pas à examiner. On remarquera néanmoins que bien qu'il prétende avoir appris en 2016 faire l'objet d'une interdiction d'entrée d'une année, cela ne l'avait pas empêché d'entrer en Suisse à de multiples reprises entre le 15 juin 2016 et le 24 août 2016. Cela étant, il est manifeste que le prévenu s'est vu condamner en juillet 2017 pour avoir à plusieurs reprises violé son interdiction d'entrée, la période pénale reprochée débutant le lendemain de sa notification. L'appelant s'est, dès lors, non seulement vu notifier ladite interdiction comprenant les dates du 1er avril 2016 au 31 mars 2021, mais celle-ci a fait l'objet d'une audience devant le Tribunal de police et d'une condamnation pénale subséquente. Son attention a dès lors été spécifiquement attirée sur la problématique et la validité de cette interdiction, de même que les conséquences d'une violation, d'autant plus qu'il était assisté d'un conseil, le fait qu'il soit jeune et Gambien n'y changeant rien, dès lors qu'il était particulièrement sensibilisé à la question d'une interdiction d'entrée en Suisse. Dans de telles circonstances, il est manifeste que son erreur, pour autant qu'elle ait existé, aurait pu être évitée par la prise de simples précautions, comme celle d'un téléphone à son conseil ou à un représentant des autorités, pour s'assurer de sa situation, ce qu'il n'a pas fait. La culpabilité de l'appelant pour infraction à la LEtr par négligence sera ainsi confirmée et son appel également rejeté sur ce point.</w:t>
      </w:r>
    </w:p>
    <w:p>
      <w:r>
        <w:rPr>
          <w:b/>
        </w:rPr>
        <w:t>E. 3.1</w:t>
      </w:r>
    </w:p>
    <w:p>
      <w:r>
        <w:t>En l'espèce, l'appelant ne critique pas la quotité de la peine.</w:t>
      </w:r>
    </w:p>
    <w:p>
      <w:r>
        <w:rPr>
          <w:b/>
        </w:rPr>
        <w:t>E. 3.2</w:t>
      </w:r>
    </w:p>
    <w:p>
      <w:r>
        <w:t>La peine privative de liberté prononcée, à savoir de deux mois, consacre une application correcte des critères fixés à l'art. 47 CP. Elle tient compte de manière adéquate de la faute de l'appelant, de la récidive intervenue, qui dénote une volonté délictuelle soutenue, de même que de sa mauvaise collaboration dans la mesure où il a persisté, tout au long de la procédure, à nier sa participation à un trafic, certes de peu d'importance, mais qui concerne une drogue dite "dure". Son comportement traduit par ailleurs l'absence de prise de conscience de sa faute, ce nonobstant sa situation personnelle qui, si elle n'est pas favorable, n'est pas non plus dramatique, dans la mesure où il indique être étudiant, habiter en France voisine où vit également son amie qu'il voit très fréquemment et travailler de façon irrégulière, ce qui lui procure un certain revenu. Enfin, le refus du sursis est également justifié dans la mesure où l'appelant présente un antécédent spécifique tout-à-fait récent, sans faire preuve de prise de conscience.</w:t>
      </w:r>
    </w:p>
    <w:p>
      <w:r>
        <w:rPr>
          <w:b/>
        </w:rPr>
        <w:t>E. 4</w:t>
      </w:r>
    </w:p>
    <w:p>
      <w:r>
        <w:t>Le jugement entrepris sera par conséquent entièrement confirmé.</w:t>
      </w:r>
    </w:p>
    <w:p>
      <w:r>
        <w:rPr>
          <w:b/>
        </w:rPr>
        <w:t>E. 5</w:t>
      </w:r>
    </w:p>
    <w:p>
      <w:r>
        <w:t>.1.1.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5.1.2.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200.- pour l'avocat chef d'étude débours de l'étude inclus. En cas d'assujettissement, l'équivalent de la TVA est versé en sus. 5.1.3. Pour fixer la rémunération de l'avocat, le nombre d'heures nécessaires pour assurer la défense d'office du prévenu est décisif (art. 16 al. 2 RAJ ;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(ATF 141 I 124 consid. 3.2 p. 126 ; ATF 125 V 408 consid. 3a p. 409 ; arrêts du Tribunal fédéral 6B_1410/2017 du 15 juin 2018 consid. 4.1 ; décision du Tribunal pénal fédéral BB.2015.85 du 12 avril 2016 consid. 3.2.3). 5.1.4.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5.2</w:t>
      </w:r>
    </w:p>
    <w:p>
      <w:r>
        <w:t>En l'espèce, considéré dans sa globalité, l'état de frais produit par le défenseur d'office de A______ paraît adéquat et conforme aux principes qui précèdent, à l'exception du temps consacré à la rédaction du mémoire d'appel motivé, qui est excessif compte tenu du fait que sa teneur est quasiment identique à celle de sa déclaration d'appel, la prise de connaissance de pièces nouvelles à la procédure, de peu d'importance, étant comprise dans le forfait. Dite activité sera partant ramenée à 5h30 à laquelle s'ajouteront 45 minutes de conférence et le forfait à raison de 20%, les heures de travail restant en deçà de la limite de 30 heures. L'indemnité sera ainsi arrêtée à CHF 1'500.-.</w:t>
      </w:r>
    </w:p>
    <w:p>
      <w:r>
        <w:rPr>
          <w:b/>
        </w:rPr>
        <w:t>E. 6</w:t>
      </w:r>
    </w:p>
    <w:p>
      <w:r>
        <w:t>L'appelant, qui succombe, supportera les frais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