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P/7081/2019 vom 25. Januar 2023</w:t>
      </w:r>
    </w:p>
    <w:p>
      <w:r>
        <w:t>GE Cour de justice, 2023-01-25, FR</w:t>
      </w:r>
    </w:p>
    <w:p>
      <w:r>
        <w:rPr>
          <w:b/>
        </w:rPr>
        <w:t xml:space="preserve">Quelle: </w:t>
      </w:r>
      <w:r>
        <w:t>https://mcp.opencaselaw.ch/entscheid/ge_gerichte_P_7081_2019</w:t>
      </w:r>
    </w:p>
    <w:p>
      <w:r>
        <w:t>FR: GE_GERICHTE P/7081/2019 du 25 janvier 2023</w:t>
      </w:r>
    </w:p>
    <w:p>
      <w:r>
        <w:t>IT: GE_GERICHTE P/7081/2019 del 25 gennaio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1.1</w:t>
      </w:r>
    </w:p>
    <w:p>
      <w:r>
        <w:t>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6B_981/2018 du 31 octobre 2018 consid. 2.1).</w:t>
      </w:r>
    </w:p>
    <w:p>
      <w:r>
        <w:rPr>
          <w:b/>
        </w:rPr>
        <w:t>E. 1.2</w:t>
      </w:r>
    </w:p>
    <w:p>
      <w:r>
        <w:t>Au cours de la procédure d'appel, l'appelant a sollicité la mise en œuvre d'une expertise dans le but de démontrer qu'il était possible que son compte Facebook, tout comme son réseau wifi, aient été piratés. Cette expertise n'est cependant pas nécessaire pour trancher la présente cause. En effet, il ressort des éléments au dossier qu'il est effectivement techniquement possible de procéder à un double piratage du compte Facebook et du réseau wifi, même si cette hypothèse demeure improbable selon la police. Il a ainsi déjà été répondu à la question que l'appelant souhaiterait voir examinée par un expert, étant précisé qu'au vu de l'écoulement du temps et, partant, de l'absence de disponibilité des données de l'époque auprès des opérateurs J______ et I______, il n'est pas possible de déterminer si tel a été le cas concrètement. Faute d'utilité, la requête de l'appelant sera ainsi rejetée.</w:t>
      </w:r>
    </w:p>
    <w:p>
      <w:r>
        <w:rPr>
          <w:b/>
        </w:rPr>
        <w:t>E. 3.1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Selon l'art. 197 al. 1 CP, est punissable quiconque offre, montre, rend accessibles à une personne de moins de 16 ans ou met à sa disposition des écrits, enregistrements sonores ou visuels, images ou autres objets pornographiques ou des représentations pornographiques, ou les diffuse à la radio ou à la télévision. Aux termes de l'art. 197 al. 4 CP, est également punissable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ou effectifs avec des mineurs.</w:t>
      </w:r>
    </w:p>
    <w:p>
      <w:r>
        <w:rPr>
          <w:b/>
        </w:rPr>
        <w:t>E. 3.3</w:t>
      </w:r>
    </w:p>
    <w:p>
      <w:r>
        <w:t>En l'espèce, il est établi par les pièces au dossier et par les déclarations de l'appelant qu'il était, au moment des faits, l'utilisateur du compte Facebook "D______.E______" , rattaché à l'adresse de messagerie D______@hotmail.com et au raccordement +41_1______. Il est également prouvé que le 12 septembre 2018, une vidéo, dont le caractère pédopornographique n'est ici ni remis en question ni discutable, a été partagée, soit adressée, depuis le compte Facebook "D______.E______" de l'appelant, alors qu'il était connecté à une adresse IP lui étant attribuée, à son contact Facebook enregistré comme étant "F______" , soit F______, qui a indiqué connaître l'appelant. A ces éléments solides l'incriminant directement pour la commission de cette infraction, l'appelant n'oppose que des hypothèses ne trouvant aucun ancrage dans le dossier, de sorte à générer des doutes abstraits et théoriques, impropres à emporter la conviction de la CPAR. L'appelant émet en particulier l'hypothèse du double piratage de son compte Facebook et de son réseau wifi par un tiers. Cette hypothèse n'est cependant corroborée par aucun des éléments au dossier. Selon la police, si un tel double piratage est techniquement possible, il demeure néanmoins improbable. On en voit par ailleurs pas quel pourrait être l'intérêt d'un éventuel tiers de pirater à la fois le compte Facebook et le réseau wifi de l'appelant, qui plus est pour n'adresser, qu'à un seul de ses contacts, une unique vidéo à caractère pédopornographique. L'appelant ne prétend pas non plus qu'il aurait, par le passé, déploré d'autres manœuvres informatiques de ce type, pas plus qu'il n'a allégué, ni en tout état démontré, avoir laissé des tiers utiliser son compte Facebook depuis son domicile, même s'il lui arrivait de prêter parfois son téléphone portable, pour un bref usage, ou encore qu'il lui arrivait d'adresser à des tiers, sans les visionner, des vidéos qu'il avait reçues. L'absence d'autre matériel informatique à caractère pédopornographique retrouvé dans la zone de stockage du Cloud n'est pas non plus propre à disculper l'appelant pour l'envoi litigieux. Tout au plus atteste-t-elle qu'il n'a pas enregistré la vidéo incriminée ou d'autres. Il n'est en effet pas rare que des individus sans aucune attirance pour la pédopornographie, visionnent ce type de vidéos, par curiosité malsaine, puis les transmettent à des tiers, à cette même fin. Il est par ailleurs singulier qu'apparemment, l'appelant ne s'est jamais interrogé sur les raisons du blocage de son compte Facebook, ni n'a entrepris de démarches pour le réactiver. L'appelant allègue encore que son téléphone portable était soumis à une surveillance de son employeur, qui le lui avait fourni, de sorte qu'il n'aurait pas pu adresser la vidéo litigieuse depuis cet appareil sans que son employeur en soit informé. Cette affirmation, au demeurant guère plausible dès lors qu'elle impliquerait que K______, par cette surveillance, violent la liberté personnelle de leurs employés, n'est fondée sur aucun élément concret, de sorte qu'elle n'est pas probante. Vu ce qui précède, il existe un faisceau d'indices convergents amenant la CPAR à la conviction que l'appelant est bien l'auteur de l'envoi du 12 septembre 2018 à F______. Celui-ci ayant partagé, à dessein, une vidéo de pornographie dite dure, il sera reconnu coupable de pornographie au sens de l'art. 197, al. 4, 2 ème phrase CP.</w:t>
      </w:r>
    </w:p>
    <w:p>
      <w:r>
        <w:rPr>
          <w:b/>
        </w:rPr>
        <w:t>E. 4</w:t>
      </w:r>
    </w:p>
    <w:p>
      <w:r>
        <w:t>Selon l'art. 42 al. 4 CP, le juge peut prononcer, en plus du sursis, une amende selon l'art. 106 CP. Celle-ci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ainsi qu'à tous, doit attirer son attention sur le sérieux de la situation en le sensibilisant à ce qui l'attend s'il ne s'amende pas. La combinaison prévue à l'art. 42 al. 4 CP constitue un " sursis qualitativement partiel " (ATF 134 IV 60 consid. 7.3.1 p. 74 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arrêts du Tribunal fédéral 6B_903/2015 du 21 septembre 2016 consid. 1.2 et 6B_152/2007 du 13 mai 2008 consid. 7.1.3 et les références citées).</w:t>
      </w:r>
    </w:p>
    <w:p>
      <w:r>
        <w:rPr>
          <w:b/>
        </w:rPr>
        <w:t>E. 4.1</w:t>
      </w:r>
    </w:p>
    <w:p>
      <w:r>
        <w:t>L'infraction à l'art. 197 al. 4 2 ème phrase est passible d'une peine privative de liberté de cinq ans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4.3</w:t>
      </w:r>
    </w:p>
    <w:p>
      <w:r>
        <w:t>L'art. 42 al. 1 CP prévoit que le juge suspend en règle générale l'exécution d'une peine pécuniaire ou d'une peine privative de liberté de deux ans au plus lorsqu'une peine ferme ne paraît pas nécessaire pour détourner l'auteur d'autres crimes ou délits.</w:t>
      </w:r>
    </w:p>
    <w:p>
      <w:r>
        <w:rPr>
          <w:b/>
        </w:rPr>
        <w:t>E. 4.5</w:t>
      </w:r>
    </w:p>
    <w:p>
      <w:r>
        <w:t>En l'espèce, la faute de l'appelant n'est de loin pas négligeable. Il a diffusé une vidéo à caractère pédopornographique depuis son compte Facebook, alors même qu'il ne pouvait ignorer qu'au-delà des images, la mineure présente sur la vidéo était une victime d'une infraction contre l'intégrité sexuelle et qu'en procédant de la sorte, il favorisait indirectement la commission de ce type de délit. Les mobiles de l'appelant sont égoïstes, dès lors qu'il a manifestement été mû par le souhait de partager avec autrui sa curiosité malsaine. Sa collaboration a été nulle, vu ses dénégations répétées et les vaines hypothèses qu'il a avancées pour tenter de se disculper. Dans cette mesure, il n'apparaît pas non plus avoir pris conscience de la gravité de ses agissements, dont il ne s'est pas repenti. Rien dans la situation personnelle de l'appelant n'explique ses agissements, en particulier en l'absence de paraphilie, ni ne les justifie. L'appelant a deux antécédents. Toutefois, compte tenu de leur ancienneté, ces derniers n'ont que peu d'influence sur la quotité de la peine à fixer.</w:t>
      </w:r>
    </w:p>
    <w:p>
      <w:r>
        <w:rPr>
          <w:b/>
        </w:rPr>
        <w:t>E. 4.6</w:t>
      </w:r>
    </w:p>
    <w:p>
      <w:r>
        <w:t>Le prononcé d'une peine sous forme d'une peine pécuniaire est acquis à l'appelant. La peine pécuniaire de 90 jours-amende prononcée par le premier juge est adéquate et sera dès lors confirmée, tout comme le montant du jour-amende de CHF 50.-, qui est adapté au regard des revenus, respectivement des charges de l'appelant. Le sursis est également acquis à l'appelant et la durée du délai d'épreuve fixée à 3 ans, soit une durée moyenne suffisamment longue pour dissuader le prévenu de récidiver, sera aussi confirmée.</w:t>
      </w:r>
    </w:p>
    <w:p>
      <w:r>
        <w:rPr>
          <w:b/>
        </w:rPr>
        <w:t>E. 4.7</w:t>
      </w:r>
    </w:p>
    <w:p>
      <w:r>
        <w:t>L'amende infligée à titre de sanction immédiate est justifiée dans son principe, vu l'absence de prise de conscience de l'appelant de la gravité de son comportement. Le montant de l'amende sera toutefois réduit à CHF 900.-, pour tenir compte des principes jurisprudentiels rappelés ci-dessus (90x50/100*20 = 900). Quant à la peine privative de liberté de substitution, elle devrait être arrêtée à 18 jours (900/50). En vertu du principe de l'interdiction de la reformatio in pejus , la peine privative de liberté de substitution de 10 jours fixée par le premier juge sera confirmée.</w:t>
      </w:r>
    </w:p>
    <w:p>
      <w:r>
        <w:rPr>
          <w:b/>
        </w:rPr>
        <w:t>E. 5</w:t>
      </w:r>
    </w:p>
    <w:p>
      <w:r>
        <w:t>La renonciation à l'expulsion obligatoire de l'appelant lui est acquise et sera dès lors confirmée.</w:t>
      </w:r>
    </w:p>
    <w:p>
      <w:r>
        <w:rPr>
          <w:b/>
        </w:rPr>
        <w:t>E. 6</w:t>
      </w:r>
    </w:p>
    <w:p>
      <w:r>
        <w:t>L'appelant, qui succombe, sera débouté de ses conclusions en indemnisation (art. 429 al. 1 CPP a contrario ).</w:t>
      </w:r>
    </w:p>
    <w:p>
      <w:r>
        <w:rPr>
          <w:b/>
        </w:rPr>
        <w:t>E. 7</w:t>
      </w:r>
    </w:p>
    <w:p>
      <w:r>
        <w:t>L'appelant sera condamné aux frais de la procédure d'appel, étant précisé que la modification de la décision de première instance est de peu d'importance (art. 428 al. 2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