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P/6990/2014 vom 24. Februar 2016</w:t>
      </w:r>
    </w:p>
    <w:p>
      <w:r>
        <w:t>GE Cour de justice, 2016-02-24, FR</w:t>
      </w:r>
    </w:p>
    <w:p>
      <w:r>
        <w:rPr>
          <w:b/>
        </w:rPr>
        <w:t xml:space="preserve">Quelle: </w:t>
      </w:r>
      <w:r>
        <w:t>https://mcp.opencaselaw.ch/entscheid/ge_gerichte_P_6990_2014</w:t>
      </w:r>
    </w:p>
    <w:p>
      <w:r>
        <w:t>FR: GE_GERICHTE P/6990/2014 du 24 février 2016</w:t>
      </w:r>
    </w:p>
    <w:p>
      <w:r>
        <w:t>IT: GE_GERICHTE P/6990/2014 del 24 febbraio 2016</w:t>
      </w:r>
    </w:p>
    <w:p>
      <w:pPr>
        <w:pStyle w:val="Heading2"/>
      </w:pPr>
      <w:r>
        <w:t>Regeste</w:t>
      </w:r>
    </w:p>
    <w:p>
      <w:r>
        <w:t>VOIES DE FAIT; MENACE(DROIT PÉNAL); INSOUMISSION À UNE DÉCISION DE L'AUTORITÉ; PRÉSOMPTION D'INNOCENCE; FIXATION DE LA PEINE; AMENDE; IMPUTATION; FRAIS DE LA PROCÉDURE; INDEMNITÉ POUR DÉTENTION | CP.126.1; CP.126.2.b; CP.292; CP.47; CP.180.1; CP.106; CP.51; CPP.429.1.c; CPP.428; CPP.135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2.1.4.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(arrêts du Tribunal fédéral 6B_509/2008 du 29 août 2008 consid. 3.2.2. et 1P.641/2000 du 24 avril 2001 consid. 3 et les références citées).</w:t>
      </w:r>
    </w:p>
    <w:p>
      <w:r>
        <w:rPr>
          <w:b/>
        </w:rPr>
        <w:t>E. 2.2</w:t>
      </w:r>
    </w:p>
    <w:p>
      <w:r>
        <w:t>Les voies de fait, réprimées par l'art. 126 al. 1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 Ont également été qualifiés de voies de fait :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l'ébouriffage d'une coiffure soigneusement élaborée ou encore un « entartage » et la projection d'objets durs d'un certain poids (ATF 117 IV 14 consid. 2a/cc p. 17 ; arrêts du Tribunal fédéral 6B_163/2008 du 15 avril 2008 consid. 2 et 6P.99/2001 du 8 octobre 2001 consid. 2b et 2c). Les voies de fait ne sont en principe punissables que sur plainte (cf. art. 126 al. 1 CP). Elles se poursuivent toutefois d'office dans les cas énumérés à l'art. 126 al. 2 CP, soit notamment lorsque la victime est le conjoint de l'auteur et que les violences ont eu lieu pendant le mariage (let. b), à la condition supplémentaire que l'auteur ait agi à réitérées reprises. Tel est le cas lorsque les voies de fait sont commises plusieurs fois sur la même victime et dénotent une certaine habitude (ATF 134 IV 189 consid. 1.2. p. 191 ; ATF 129 IV 216 consid. 3.1 p. 222).</w:t>
      </w:r>
    </w:p>
    <w:p>
      <w:r>
        <w:rPr>
          <w:b/>
        </w:rPr>
        <w:t>E. 2.3</w:t>
      </w:r>
    </w:p>
    <w:p>
      <w:r>
        <w:t>Dans le cas d'espèce, les trois épisodes de violence s'inscrivent dans une période de crise que traversait les AD______ depuis quelques années, ainsi qu'en témoignent des faits similaires qui ont été dénoncés en 2012. Les éléments du dossier – notamment les déclarations de l'appelant – laissent penser que son tempérament jaloux, suspicieux et violent en était à l'origine. Aux dires de son épouse, son comportement était de plus en plus belliqueux, débutant par des mots et se poursuivant pas des coups. Faits du 27 mars 2014</w:t>
      </w:r>
    </w:p>
    <w:p>
      <w:r>
        <w:rPr>
          <w:b/>
        </w:rPr>
        <w:t>E. 2.3.1</w:t>
      </w:r>
    </w:p>
    <w:p>
      <w:r>
        <w:t>Le récit de D______ est modéré, circonstancié et corroboré par le constat de lésions traumatiques du 31 mars 2014. Celle-ci est restée constante lors de ses différentes auditions, ne paraissant pas mue par un esprit de vengeance. À l'inverse, la version des faits de son mari n'emporte pas conviction, n'étant qu'une adaptation au gré des circonstances pour les besoins de la cause. Lors de sa première audition, l'appelant a usé de son droit de se taire, refusant de se prononcer sur les faits, bien qu'accablants. Dès le lendemain, il s'est rendu chez un médecin pour faire constater les lésions qu'il présentait. Ce constat lui a permis d'alléguer en procédure la légitime défense, en se présentant comme la victime de l'agression de son épouse. Cela étant, l'appelant n'a fourni aucun détail sur le déroulement de la prétendue agression subie, étant observé que son épouse n'a pas contesté lui avoir infligé des griffures pour se défendre. Le fait que cet épisode de violence s'inscrive dans une série de deux autres de même type constitue un élément à charge supplémentaire (voir points 2.3.2. et 2.3.3. infra ). Au vu de ce qui précède, c'est à raison que le premier juge s'est basé sur la version des faits de D______, laquelle était crédible et attestée par un élément de preuve matériel, ce qui n'est pas le cas de la thèse de légitime défense soutenue par l'appelant. Aussi, la culpabilité de l'appelant sera-t-elle confirmée. Faits du 30 mars 2014</w:t>
      </w:r>
    </w:p>
    <w:p>
      <w:r>
        <w:rPr>
          <w:b/>
        </w:rPr>
        <w:t>E. 2.3.2</w:t>
      </w:r>
    </w:p>
    <w:p>
      <w:r>
        <w:t>Les développements supra relatifs à la crédibilité des déclarations de D______ peuvent être repris mutatis mutandis pour le cas d'espèce, étant précisé que le constat médical du 31 mars 2014 attestait des blessures subies les 27 et 30 mars 2014. Sa demande d'intervention de la police corrobore ses propos, étant relevé que sur la base de ses déclarations crédibles et spontanées, l'appelant a été interpellé par les agents dépêchés sur place. À l'inverse, l'appelant s'est contenté de nier les faits au bénéfice d'explications lacunaires, incohérentes et corroborées par aucun élément matériel. Le ton virulent et la teneur des propos employés dans ses messages du 30 mars 2014 – reconnus par l'appelant – témoignent d'un sentiment de jalousie bien plus que de tristesse, et ils attestent du contexte hautement conflictuel dans lequel l'altercation entre les époux s'est produite. Le fait que cet épisode de violence soit survenu deux jours après le précédent et qu'un autre ait suivi constitue un élément à charge supplémentaire (voir points 2.3.1. et 2.3.3. supra et infra ). En présence d'un faisceau d'indices qu'aucun élément du dossier ne vient infirmer, la culpabilité de l'appelant a été retenue à bon droit. Faits du 5 mai 2014</w:t>
      </w:r>
    </w:p>
    <w:p>
      <w:r>
        <w:rPr>
          <w:b/>
        </w:rPr>
        <w:t>E. 2.3.3</w:t>
      </w:r>
    </w:p>
    <w:p>
      <w:r>
        <w:t>Pour ce cas également, le récit dépeint par D______ est précis, modéré et constant. Les lésions physiques qu'elle a alléguées sont étayées par un constat médical qui asseoit la crédibilité de ses déclarations. Il sied de relever que les lésions constatées dans sa bouche ne pouvaient qu'être le fait de tiers, car il est peu concevable qu'un déchirement du frein de la langue puisse survenir de manière accidentelle, encore moins auto-agressive. À ces déclarations s'opposent celles de l'appelant, appuyées par deux témoins directs, son frère et sa compagne. La crédibilité de ces témoignages doit d'emblée être relativisée, vu le lien affectif unissant leurs auteurs à l'appelant. Ce lien laisse, en effet, présumer la subjectivité de leurs propos, ainsi qu'en témoignent notamment les rétractations de l'un d'eux. En outre et bien qu'à décharge, leur récit ne corrobore pour autant pas celui de l'appelant. Ils ne coïncident pas sur plusieurs points essentiels, notamment au sujet du moment et du lieu où le frère et sa compagne sont devenus témoins des faits. Ces contradictions nuisent à la crédibilité de ces témoignages, mais aussi à celle des déclarations de l'appelant. Dès lors que s'oppose la version de l'épouse, crédible et étayée par constat médical, à deux versions contradictoires qu'aucun autre élément du dossier ne corrobore, il va de soi que la première sera retenue, étant la seule qui emporte conviction. Partant, la culpabilité de l'appelant sera confirmée.</w:t>
      </w:r>
    </w:p>
    <w:p>
      <w:r>
        <w:rPr>
          <w:b/>
        </w:rPr>
        <w:t>E. 2.3.4</w:t>
      </w:r>
    </w:p>
    <w:p>
      <w:r>
        <w:t>En définitive, il est établi que l'appelant a agi à réitérées reprises avec pleine conscience et volonté. Ainsi, le verdict de culpabilité de voies de fait sera maintenu (art. 126 al. 1 et 2 let. b CP), au regard de la réalisation des éléments constitutifs de cette infraction. 2.4.1.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 2.4.2. Dans son ordonnance pénale, le MP reproche à l'appelant d'avoir, les 29 [recte : 30] et 31 mars 2014, ainsi que le 5 mai 2014, menacé son épouse de manière verbale ou écrite. La CPAR constate que l'acte d'accusation est relativement imprécis (art. 325 al. 1 let. f CPP) en ne mentionnant pas si la victime a été alarmée ou effrayée ni de quelle manière, par d'éventuelles menaces, notamment de mort, proférées à son encontre. Même à considérer ces menaces pour établies, sur la base des aveux partiels de l'appelant et des déclarations crédibles de son épouse pour le surplus, aucun élément du dossier ne démontre qu'elles auraient suscité la peur chez cette dernière, étant souligné que quelques mois plus tard elle avait repris sa vie de couple avec l'appelant. Un doute subsiste donc, qui doit profiter à l'appelant, de sorte que cette infraction ne sera pas retenue. Le jugement entrepris sera réformé sur ce point. 2.5.1. L'art. 292 CP sanctionne celui qui ne se sera pas conformé à une décision à lui signifiée, sous la menace de la peine prévue audit article, par une autorité ou un fonctionnaire compétents. Cette disposition ne définit pas directement le comportement punissable et renvoie au contenu d'une décision. La réalisation de cette infraction suppose que le comportement ordonné par l'autorité soit décrit avec suffisamment de précision dans la décision. Le destinataire doit savoir ce qu'il doit faire ou ne pas faire, et partant quel comportement ou omission est susceptible d'entraîner une sanction pénale (ATF 124 IV 297 consid. 4d p. 311 = JdT 2000 IV 106 ; arrêt du Tribunal fédéral 6B_591/2009 du 1 er février 2010 consid. 4.1). Selon la jurisprudence, l'infraction est intentionnelle et suppose la connaissance de l'injonction, de sa validité et des conséquences pénales de l'insoumission. Le dol éventuel suffit (ATF 119 IV 238 consid. 2a p. 240 ; arrêt du Tribunal fédéral 6B_547/2012 du 26 mars 2013 consid. 2.5 ; arrêt du Tribunal fédéral 6B_280/2010 du 20 mai 2010 consid. 3.1). 2.5.2. En l'occurrence, l'appelant faisait l'objet de deux mesures d'éloignement prononcées par les instances civile et administrative, lui interdisant de s'approcher de son épouse et du domicile conjugal sous menaces des sanctions pénales de l'art. 292 CP. À titre liminaire, il y a lieu de préciser que l'autorisation donnée par la personne protégée par une mesure d'éloignement n'est, en principe, pas un fait justificatif légalisant sa violation. Les deux décisions du cas d'espèce prévoient néanmoins, dans le cadre de l'exercice du droit de visite de l'appelant, une dérogation à l'interdiction conditionnée au consentement de son épouse. Pendant la soirée du 5 au 6 mai 2014, l'appelant est entré une première fois dans le domicile conjugal sans l'autorisation de son épouse pour la violenter, à teneur des déclarations crédibles de celle-ci (voir point 2.3.3. supra ), et une seconde fois avec son assentiment. Selon la lettre de l'ordonnance pénale, c'est la première intrusion qui était constitutive d'infraction à l'art. 292 CP, l'appelant ayant donc enfreint les interdictions susmentionnées en se rendant dans l'appartement de son épouse sans son accord. Il s'ensuit que le jugement entrepris sera confirmé sur ce point, le retrait de la plainte pénale déposée par l'intimée n'y changeant rien.</w:t>
      </w:r>
    </w:p>
    <w:p>
      <w:r>
        <w:rPr>
          <w:b/>
        </w:rPr>
        <w:t>E. 3</w:t>
      </w:r>
    </w:p>
    <w:p>
      <w:r>
        <w:t>3.1.1. Les infractions de voies de fait (art. 126 al. 1 et 2 let. b CP) et d'insoumission à une décision de l'autorité (art. 292 CP) sont réprimées de l'amende.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3.1.3.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ATF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ad art. 106 CP n. 19). 3.1.4. De manière générale, il convient de rappeler que l'indemnisation relative à une détention avant jugement injustifiée doit être refusée lorsqu'il est possible de procéder à une imputation sur la peine découlant d'une autre condamnation, en vertu du caractère impératif et prioritaire de l'art. 51 CP. L'imputation sera effectuée sur toute peine, quel que soit son genre, selon le taux de conversion de un jour de détention pour un jour de peine privative de liberté, un jour-amende ou quatre heures de travail d'intérêt général (art. 51 2 ème phrase CP). S'il s'agit d'une amende, la conversion se fera en fonction du critère retenu pour le calcul de la peine privative de liberté de substitution de l'art. 106 al. 2 CP (ATF 135 IV 126 consid. 1.3.9 p. 130). Le taux de conversion pour un jour de détention avant jugement correspond donc à la division du montant de l'amende par le nombre de jours fixés à titre de peine privative de liberté de substitution (M. DUPUIS / B. GELLER / G. MONNIER / L. MOREILLON / C. PIGUET / C. BETTEX / D. STOLL (éds), Code pénal - Petit commentaire , Bâle 2012, ad art. 51 CP n. 5). Le juge doit procéder à l'imputation de la détention avant jugement à la fois sur l'amende et sur la peine privative de liberté de substitution (R. ROTH / L. MOREILLON (éds), op. cit. , ad art. 106 CP n. 14). Un jour de détention correspond à un jour de peine privative de liberté de substitution (R. ROTH / L. MOREILLON (éds), op. cit. , ad art. 106 CP n.14).</w:t>
      </w:r>
    </w:p>
    <w:p>
      <w:r>
        <w:rPr>
          <w:b/>
        </w:rPr>
        <w:t>E. 3.2</w:t>
      </w:r>
    </w:p>
    <w:p>
      <w:r>
        <w:t>En l'espèce, la faute de l'appelant n'est pas négligeable. Il s'en est pris à l'intégrité physique de son épouse, uniquement mû par la colère. Son mobile est d'autant plus égoïste que cette colère n'était que le fruit de ses obsessions et de sa jalousie maladive qu'il ne parvenait pas à contrôler. Les conflits que le couple rencontrait ne justifiaient pas une résolution par la violence, tant il est évident que d'autres alternatives se présentent dans ce type de situation. Sa faute est aussi significative s'agissant de l'infraction à l'art. 292 CP, dans la mesure où l'appelant a agi dans le but de violenter son épouse. Il n'a aucunement collaboré à la procédure, ayant nié presque l'intégralité des faits reprochés même confronté à l'évidence, tout en rejetant la faute sur son épouse. Il n'a aucunement pris conscience de la gravité de ses actes et ne semble éprouver aucun repentir, ni même de la compassion pour sa victime, ce qui ne manque pas de surprendre au vu de l'ouverture d'esprit affichée par celle-ci. Les antécédents de l'appelant sont, pour partie, spécifiques. Aucune des circonstances atténuantes prévues par l'art. 48 CP n'est réalisée, ni d'ailleurs plaidée. Il y a concours d'infractions au sens de l'art. 49 al. 1 CP, ce qui justifie une augmentation de la peine dans une juste proportion, en l'espèce modérée. Eu égard à l'acquittement prononcé supra , et à la peine menace sanctionnant les infractions pour lesquelles la culpabilité de l'appelant a été confirmée, la peine pécuniaire arrêtée par le premier juge doit être annulée. Le montant de l'amende de CHF 360.- (peine privative de liberté de substitution de trois jours) ne saurait, par ailleurs, être augmenté, dans le respect du principe de la reformatio in pejus (art. 391 al. 2 CP). En application de l'art. 51 CP, de la jurisprudence et de la doctrine y relatives, la détention subie avant jugement doit être imputée au montant de l'amende et à la peine privative de liberté de substitution selon les taux de conversion susmentionnés. Par souci de simplification et aux fins de couvrir intégralement le montant de l'amende, il sied d'arrondir le nombre de jours de détention subie avant jugement vers le haut, de sorte que quatre seront déduits (quatre jours x CHF 100.- = CHF 400.-). Il reste donc un solde de 33 jours de détention subie à tort. En matière de contravention, le sursis, le délai d'épreuve et la règle de conduite y relatifs, de même que la prolongation des délais d'épreuve des précédents sursis, n'entrent plus en ligne de compte (art. 44 al. 1 et 2, 46 al. 2 et 105 al. 1 CP). Le jugement entrepris sera réformé sur ces points.</w:t>
      </w:r>
    </w:p>
    <w:p>
      <w:r>
        <w:rPr>
          <w:b/>
        </w:rPr>
        <w:t>E. 4.1</w:t>
      </w:r>
    </w:p>
    <w:p>
      <w:r>
        <w:t>À teneur de l'art. 429 al. 1 let. c CPP, le prévenu a notamment droit, s'il est acquitté en totalité ou en partie ou s'il bénéficie d'une ordonnance de classement, à une réparation du tort moral subi en raison d'une atteinte particulièrement grave à sa personnalité, notamment en cas de privation de liberté. La question de l'indemnisation ne se pose que si la durée de la détention subie ne peut pas être totalement imputée sur une autre sanction au sens de l'art. 51 CP. Le principe de la subsidiarité de l'indemnisation doit être supporté par le prévenu (ATF 141 IV 236 consid. 3.3. et les références citées). Selon la jurisprudence rendue avant l'entrée en vigueur du CPP, le montant de l'indemnité en matière de détention injustifiée doit être fixé en fonction de la gravité de l'atteinte portée à la personnalité (art. 49 al. 1 CO ; ATF 135 IV 43 consid. 4.1 p. 47 ; ATF 113 IV 93 consid. 3a p. 98). Il faut tenir compte de toutes les circonstances, notamment des effets négatifs de la détention sur l'intégrité physique, psychique ou encore sur la réputation de l'intéressé (ATF 112 Ib 446 consid. 5b/aa p. 458). La preuve de l'existence du dommage, son ampleur et sa relation de causalité adéquate avec la poursuite pénale introduite à tort incombent au requérant (arrêt du Tribunal fédéral 6B_595/2007 du 11 mars 2008 consid. 2.2). Si le prévenu est privé de sa liberté, même très brièvement, le tort moral est d'abord calculé sur la base d'une indemnité journalière. En principe, un montant de CHF 200.- par jour en cas de détention injustifiée de courte durée constitue une indemnité appropriée, dans la mesure où il n'existe pas de circonstances particulières qui pourraient fonder le versement d'un montant inférieur ou supérieur (arrêts 6B_1052/2014 du 22 décembre 2015 consid. 2.1 ; 6B_133/2014 du 18 septembre 2014 consid. 3.2 et les arrêts cités).</w:t>
      </w:r>
    </w:p>
    <w:p>
      <w:r>
        <w:rPr>
          <w:b/>
        </w:rPr>
        <w:t>E. 4.2</w:t>
      </w:r>
    </w:p>
    <w:p>
      <w:r>
        <w:t>Sur les 37 jours durant lesquels l'appelant a été détenu provisoirement, 33 étaient injustifiés, lui ouvrant le droit à l'octroi d'une indemnité pour ce motif. L'indemnité journalière de base doit être fixée à CHF 200.- selon la jurisprudence fédérale, étant rappelé que cette quotité n'est pas conditionnée à la preuve des souffrances vécues pendant la détention. Au vu de ce qui précède, une indemnité de CHF 6'600.- (33 jours à CHF 200.-) sera accordée à l'appelant pour la détention injustifiée subie, en application de l'art. 429 al. 1 let. c CPP.</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Le verdict de culpabilité de l'appelant étant presque intégralement confirmé, il convient de le condamner aux frais de procédure de première instance, sous réserve de l'émolument de jugement complémentaire qu'il y a lieu de réduire de un quart. L'appel étant majoritairement rejeté, l'appelant supportera les deux tiers des frais de la procédure envers l'État (art. 428 CPP), comprenant dans leur totalité un émolument de CHF 3'000.- (art. 14 let. e du Règlement fixant le tarif des frais en matière pénale du 22 décembre 2010 [RTFMP ; E 4 10.03]), le solde étant laissé à la charge de l'Etat.</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Les communications et courriers divers sont en principe inclus dans le forfait ( AARP/326/2015 du 16 juillet 2015 ; AARP/193/2015 du 27 avril 2015) de même que d'autres documents ne nécessitant pas ou peu de motivation ou autre investissement particulier en termes de travail juridique, telle l'annonce d'appel ( AARP/304/2015 du 16 juillet 2015) ou la rédaction de la déclaration d'appel (ordonnance de la Cour des plaintes du Tribunal pénal fédéral BB.2014.51 du 21 novembre 2014 consid. 2.1 ; décisions de la Cour des plaintes du Tribunal pénal fédéral BB.2013.165 du 24 janvier 2014 consid. 4.1.3 et BB.2013.127 du 4 décembre 2013 consid. 4.2). 6.2.5.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AARP/331/2015 du 27 juillet 2015), contrairement au cas où un examen plus poussé s'imposait, notamment aux fins de déterminer l'opportunité d'un recours au plan cantonal. 6.2.6. Il faut tenir compte, pour apprécier le temps adéquat pour la préparation de l'audience de jugement ou d'appel, des circonstances du cas, notamment du temps déjà précédemment passé sur le dossier ( AARP/198/2015 du 31 mars 2015 ; AARP/433/2014 du 7 octobre 2014). 6.2.7.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w:t>
      </w:r>
    </w:p>
    <w:p>
      <w:r>
        <w:rPr>
          <w:b/>
        </w:rPr>
        <w:t>E. 6.3</w:t>
      </w:r>
    </w:p>
    <w:p>
      <w:r>
        <w:t>En l'occurrence, ne seront pas considérées nécessaires : - une heure de travail du chef d'étude sur les deux consacrées à l'examen de l'opportunité d'un appel, le reliquat étant suffisant pour ce faire et en discuter avec le client, étant précisé que les éléments du dossier étaient connus du défenseur d'office déjà intervenu en première instance ; - une heure dédiée à la rédaction de la déclaration d'appel, tâche incluse dans le forfait pour l'activité diverse ; - neuf heures affectées à la préparation de la plaidoirie. Vu l'absence de complexité du dossier en fait et en droit, un travail de trois heures aurait été suffisant à l'avocat-stagiaire, étant ajouté que celui effectué par le chef d'étude ne sera pas indemnisé, relevant du rôle de formateur. Il conviendra d'ajouter l'assistance à l'audience d'appel par l'avocat-stagiaire qui a duré une heure (et non pas une heure et 30 minutes), ainsi que les frais de déplacement à hauteur de CHF 20.- au regard de la pratique de la CPAR.</w:t>
      </w:r>
    </w:p>
    <w:p>
      <w:r>
        <w:rPr>
          <w:b/>
        </w:rPr>
        <w:t>E. 6.4</w:t>
      </w:r>
    </w:p>
    <w:p>
      <w:r>
        <w:t>En conclusion, l'indemnité sera arrêtée à CHF 980.- correspondant respectivement à trois heures et 30 minutes d'activité du chef d'étude (tarif horaire de CHF 200.-), ainsi qu'à quatre heures d'activité de l'avocat-stagiaire (tarif horaire de CHF 65.-), plus la majoration forfaitaire de 10% vu le nombre d'heures déjà indemnisées en première instance (CHF 98.-) et l'équivalent de la TVA au taux de 8% (CHF 86.25). En définitive, un montant de CHF 1'164.25 sera versé au défenseur d'office.</w:t>
      </w:r>
    </w:p>
    <w:p>
      <w:r>
        <w:rPr>
          <w:b/>
        </w:rPr>
        <w:t>E. 7</w:t>
      </w:r>
    </w:p>
    <w:p>
      <w:r>
        <w:t>Par souci de clarté, le dispositif du jugement de première instance sera entièrement annulé et formulé à nouveau.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