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P/6987/2015 vom 27. Juni 2018</w:t>
      </w:r>
    </w:p>
    <w:p>
      <w:r>
        <w:t>GE Cour de justice, 2018-06-27, FR</w:t>
      </w:r>
    </w:p>
    <w:p>
      <w:r>
        <w:rPr>
          <w:b/>
        </w:rPr>
        <w:t xml:space="preserve">Quelle: </w:t>
      </w:r>
      <w:r>
        <w:t>https://mcp.opencaselaw.ch/entscheid/ge_gerichte_P_6987_2015</w:t>
      </w:r>
    </w:p>
    <w:p>
      <w:r>
        <w:t>FR: GE_GERICHTE P/6987/2015 du 27 juin 2018</w:t>
      </w:r>
    </w:p>
    <w:p>
      <w:r>
        <w:t>IT: GE_GERICHTE P/6987/2015 del 27 giugno 2018</w:t>
      </w:r>
    </w:p>
    <w:p>
      <w:pPr>
        <w:pStyle w:val="Heading2"/>
      </w:pPr>
      <w:r>
        <w:t>Regeste</w:t>
      </w:r>
    </w:p>
    <w:p>
      <w:r>
        <w:t>LÉSION CORPORELLE SIMPLE ; VIOLATION DU DEVOIR D'ASSISTANCE OU D'ÉDUCATION ; MAUVAIS TRAITEMENT(EN GÉNÉRAL) ; ENFANT ; ADMINISTRATION DES PREUVES ; EXPERTISE PRÉSENTÉE PAR UNE PARTIE | CP.123.ch1; CP.123.ch2; CP.219; CPP.189; CPP.389; CPP.399.al3.letc</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 la quotité de la peine (let. b) ; les mesures qui ont été ordonnées (let. c) ; les frais, les indemnités et la réparation du tort moral (let. f). La Chambre limite son examen aux violations décrites dans les actes d'appel (art. 404 al. 1 CPP), sauf en cas de décisions illégales ou inéquitables (art. 404 al. 2 CPP).</w:t>
      </w:r>
    </w:p>
    <w:p>
      <w:r>
        <w:rPr>
          <w:b/>
        </w:rPr>
        <w:t>E. 2.1</w:t>
      </w:r>
    </w:p>
    <w:p>
      <w:r>
        <w:t>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 A teneur de l'art. 399 al. 3 let. c CPP, l'appelant doit indiquer dans sa déclaration d'appel les éventuelles réquisitions de preuves. Selon la jurisprudence du Tribunal fédéral, l'appelant peut encore en présenter d'autres pendant la phase des débats, postérieurement à sa déclaration d'appel (ATF 143 IV 214 consid. 5.4 ; arrêts du Tribunal fédéral 6B_345/2017 du 16 janvier 2018 consid. 1.3 ; 6B_542/2016 du 5 mai 2017 consid. 3.4.3)</w:t>
      </w:r>
    </w:p>
    <w:p>
      <w:r>
        <w:rPr>
          <w:b/>
        </w:rPr>
        <w:t>E. 2.2</w:t>
      </w:r>
    </w:p>
    <w:p>
      <w:r>
        <w:t>À teneur de l'art. 189 CPP, la direction de la procédure fait, d'office ou à la demande d'une partie, compléter ou clarifier une expertise par le même expert ou désigne un nouvel expert dans les cas suivants notamment : l'expertise est incomplète ou peu claire (let. a) ; l'exactitude de l'expertise est mise en doute (let. c).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du Tribunal fédéral 6B_1307/2015 du 9 décembre 2016 consid. 4.3.2 et 6B_590/2013 du 22 octobre 2014 consid. 1.1).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 il n'existait pas de droit à une pluralité d'expertises ( OCA/37/2002 du 7 février 2002 consid. 4 ; OCA/28/2002 du 30 janvier 2002 consid. 2 ; OCA/36/2000 du 9 février 2000 ; G. PIQUEREZ, Procédure pénale suisse , 2e éd., 2007, p. 421 n. 625/626 ; HARARI / ROTH / STRÄULI, Chronique de procédure pénale genevoise 1986-1989 , SJ 1990 p. 448 ; DINICHERT / BERTOSSA / GAILLARD, Procédure pénale genevoise ,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 ACPR/196/2012 du 15 mai 2012 ; G. PIQUEREZ, ibidem ). 2.3.1. Les appelants remettent en cause la crédibilité du témoignage de G______. Or, celle-ci a été entendue de manière conforme aux dispositions applicables à l'audition de témoins mineurs (art. 154 al. 2 et 4 CPP applicables par renvoi de l'art. 149 al. 4 CPP). Son audition a été menée par un enquêteur formé à cet effet et enregistrée sur un support préservant le son et l'image. Elle a eu lieu dès que possible, selon le protocole NICHD, et ne doit pas être répétée, aucune situation exceptionnelle justifiant une deuxième audition. Ces modalités d'audition d'une jeune enfant, prévues par le CPP, suffisent à respecter les droits des appelants, tel étant le but poursuivi. L'erreur de transcription dont se plaignent les appelants a été prise en considération dans l'appréciation des déclarations de G______, tant dans l'expertise de crédibilité que par le premier juge, et la vidéo de l'audition figure au dossier de sorte que la CPAR peut s'y référer. En conséquence, il n'y a pas lieu d'écarter le témoignage de G______, cette pièce ne constituant au demeurant pas l'élément principal retenu à charge, et toutes les réquisitions de preuve en lien avec ce témoignage (demande de retransciption, demande de nouvelle audition) doivent être rejetées. 2.3.2. La question peut demeurer ouverte de savoir si la pièce nouvellement déposée par l'appelante par courrier du 15 mars 2018 est recevable, celle-ci ne pouvant être d'aucune utilité pour la CPAR. En effet, il n'existe pas de raison de douter du bien-fondé de l'expertise de crédibilité menée par R______ : ses constatations factuelles apparaissent exactes et complètes et ses conclusions sont claires, précises et nuancées. Il convient aussi de rappeler que les parties ont eu l'occasion de s'exprimer sur le rapport d'expertise, ce qu'elles ont fait. Le courrier du Prof. U______ n'a pas valeur d'expertise, pas même privée, le document comprenant uniquement des conclusions mettant en doute l'expertise judiciaire, sans plus amples explications. Par conséquent, la demande d'une nouvelle expertise de crédibilité est rejetée.</w:t>
      </w:r>
    </w:p>
    <w:p>
      <w:r>
        <w:rPr>
          <w:b/>
        </w:rPr>
        <w:t>E. 3</w:t>
      </w:r>
    </w:p>
    <w:p>
      <w:r>
        <w:t>3.1.1.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3.1.2.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 AARP/114/2018 du 19 avril 2018 consid. 2.1.1). 3.1.3.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ATF 127 I 38 consid. 2a ; ATF 124 IV 86 consid. 2a ; arrêt du Tribunal fédéral 6B_1015/2016 du 27 octobre 2017 consid. 4.1). 3.2.1. Aux termes de l'art. 123 CP, celui qui, intentionnellement, aura fait subir à une personne une autre atteinte à l'intégrité corporelle ou à la santé sera, sur plainte, puni d'une peine privative de liberté de trois ans au plus ou d'une peine pécuniaire (ch. 1 al. 1). La peine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(ch. 2 al.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A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ATF 107 IV 40 consid. 5c ; ATF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ATF 107 IV 40 consid. 5c ; ATF 103 IV 65 consid. II 2c et les références citées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et les références citées). L'art. 123 ch. 2 CP érige en circonstance aggravante notamment les lésions corporelles simples commises sur un enfant dont l'auteur à la garde ou sur lequel il avait le devoir de veiller, ainsi que celles commises sur le partenaire, pour autant qu'auteur et victime fassent ménage commun pour une durée indéterminée et que l'atteinte ait été commise durant cette période ou dans l'année qui a suivi la séparation ( AARP/116/2017 du 3 avril 2017 consid. 3.4.1). L'art. 123 CP décrit une infraction de nature intentionnelle. Le dol éventuel suffit (M. DUPUIS / L. MOREILLON / C. PIGUET / S. BERGER / M. MAZOU / V. RODIGARI (éds), Code pénal - Petit commentaire , 2e éd., Bâle 2017, n. 12 ad art. 123 et références citées). L'infraction de lésions corporelles simples est une infraction de résultat, qui suppose en général une action. Elle peut cependant aussi être commise par omission si l'auteur est resté passif au mépris d'une obligation juridique qui lui commandait impérieusement d'agir pour éviter le résultat (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 ATF 134 IV 255 consid. 4.2.1 et références citées ; arrêt du Tribunal fédéral 6B_315/2016 du 1 er novembre 2016 consid. 4.1). Ont notamment une position de garant les parents vis-à-vis de leurs enfants mineurs (ATF 125 IV 64 consid. 1a). 3.2.2. 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que l'auteur ait violé son devoir d'assistance ou d'éducation. Le devoir d'assistance est un devoir de protection, afin de garantir le développement harmonieux sur les plans physique et psychique de l'enfant. Le devoir d'éducation est celui d'assurer le développement corporel, spirituel et psychique du mineur, notamment son interaction dans la société et l'apprentissage des normes d'éthique sociale (ATF 126 IV 136 consid. 1b ; ATF 125 IV 64 consid. 1a ; AARP 228/2017 du 29 juin 2017 consid. 2.3.2 ; L. MOREILLON, Quelques réflexions sur la violation du devoir d'assistance ou d'éducation [article 219 nouveau CP] , in RPS 1998 p. 436 s.). Ce devoir et, partant, la position de garant de l'auteur peut résulter de la loi, d'une décision de l'autorité ou d'un contrat, voire d'une situation de fait (ATF 125 IV 64 consid. 1a ; AARP/26/2018 du 24 janvier 2018 consid. 6.6.1). Sont notamment des garants les parents naturels, qu'ils vivent ou non avec l'enfant (ATF 125 IV 64 consid. 1a et les références citées). Le comportement délictueux peut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et les références citées ; AARP/26/2018 du 24 janvier 2018 consid. 6.6.1). Pour provoquer un tel résultat, il faut en principe que l'auteur agisse de façon répétée ou viole durablement son devoir (arrêt du Tribunal fédéral 6B_457/2013 du 2013 du 29 octobre 2013 consid. 1.2 et les références citées ; B. CORBOZ, Les infractions en droit suisse , vol. I, 3ème éd., 2010, n. 17 p. 939). Il n'est cependant pas exclu qu'un seul acte grave suffise pour que des séquelles durables risquent d'affecter le développement du mineur.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(AARP 228/2017 du 29 juin 2017 consid. 2.3.2). Du point de vue subjectif, l'infraction peut être commise tant intentionnellement, auquel cas le dol éventuel suffit (ATF 125 IV 64 consid. 1a ; arrêt du Tribunal fédéral 6S.193/2005 consid. 2), que par négligence (art. 219 al. 2 CP). La gravité de la faute commise est déterminante (ATF 125 IV 64 consid. 2). L'intention doit porter sur l'existence du devoir, son contenu, le fait qu'il soit violé et sur la mise en danger du développement de l'enfant (M. DUPUIS / B. GELLER / G. MONNIER / L. MOREILLON / C. PIGUET / C. BETTEX / D. STOLL [éds], Code pénal - Petit commentaire , Bâle 2017, n. 19 ad art. 219). 3.3.1. En l'espèce, il n'est pas contesté, à raison, que les différentes ecchymoses et fractures infligées à l'intimé sont constitutives de lésions corporelles simples au sens de l'art. 123 al. 1 CP. Tant les médecins du département de l'enfant et de l'adolescent que les experts du CURML ont conclu que ces lésions étaient d'origine traumatique et évoquaient en premier lieu de la maltraitance, cette hypothèse étant appuyée par le fait que l'histoire clinique rapportait plusieurs épisodes traumatiques différents, échelonnés dans le temps. Les parents se sont occupés seuls de leur fils, sauf en deux occasions, la première lors des deux premiers jours d'hospitalisation de l'appelante à l'UPHA soit les 28-29 janvier 2015 et la deuxième, pendant cinq heures le soir de la Saint-Valentin. Rien n'indique qu'à ces occasions des lésions aient été occasionnées au nourrisson. Les appelants eux-mêmes n'ont rien constaté d'anormal avec leur enfant à son retour de ces deux brefs séjours. Il est établi que l'appelante s'occupait en principe de son fils pendant la journée et son compagnon pendant la nuit. A compter du 12 janvier, date à laquelle l'appelant a repris son activité professionnelle à temps plein, celui-ci s'est rapidement retrouvé dans une situation d'épuisement, ce qui a exacerbé ses excès de colère. En effet, il devait se charger seul de la plupart des tâches ménagères et s'occuper de son fils la nuit, sa compagne étant manifestement dépassée par les événements. Cela est confirmé par le SMS envoyé par l'appelant à la sage-femme le 12 janvier 2015 l'informant du total délaissement de sa compagne, laquelle n'aurait pas eu envie de s'occuper de son fils. S'agissant des événements du 18 janvier 2015, il est établi que l'appelant était énervé à la suite d'une altercation avec sa compagne. Par ailleurs, l'expert a considéré que les déclarations de G______ attribuant au comportement de l'appelant les lésions occasionnées ce jour-là au nourrisson étaient crédibles. Divers témoins ont constaté une attitude généralement brusque, voire violente, de l'appelant envers son fils. Il ressort des déclarations de G______ que l'appelant était souvent irrité par les pleurs de son fils, qu'il tentait de faire cesser en criant et en proférant des menaces à son encontre, accompagnées de gestes mimant des coups, alors que sa compagne était clairement en retrait, demeurant dans sa chambre. A cet égard, contrairement à ce que semble avancer l'appelante, le fait que G______ n'aurait rendu visite au couple qu'à trois reprises renforce d'autant plus la suspicion que le comportement brusque, voire violent, du père était fréquent, ou même habituel, puisqu'il s'est manifesté à chacune de ses visites. Ce constat est également corroboré par le témoignage de J______, laquelle a rapporté que, le 24 février 2015, aux urgences pédiatriques, l'appelant avait montré toute son irritation à l'égard du nourrisson en le posant abruptement dans son berceau et en lui mettant la sucette dans la bouche de manière brusque, tout en utilisant envers le nourrisson un langage inapproprié, même brutal, ce à quoi l'appelante avait uniquement opposé la crainte qu'un médecin ne s'aperçoive de sa brusquerie. Au cours de l'instruction, les parents ont été dans l'incapacité d'expliquer l'origine des lésions constatées sur leur fils, si ce n'est pour jeter la faute sur des tiers, notamment la grand-mère paternelle ou le corps médical. A l'instar du Tribunal de police, la CPAR ne suivra pas le récit des appelants quant aux hématomes constatés le 23 février 2015 rappelant la forme de doigts, lesquels auraient été causés par la grand-mère paternelle du nourrisson qui l'aurait serré trop fort lorsqu'elle l'avait porté la veille pendant à peine dix minutes. Ce récit n'est corroboré par aucun élément objectif et n'est pas compatible avec les hématomes constatés. M______, dont les déclarations paraissent crédibles, a confirmé qu'elle tenait le bébé avec son bras gauche, qu'elle soutenait les fesses et les jambes de celui-ci avec sa main gauche et que la tête du nourrisson était appuyée contre son épaule. Si elle avait dû serrer le bébé, cela aurait été au niveau des cuisses et non de l'abdomen. Et même si la grand-mère avait tenu la victime de sa main gauche, comme le soutiennent les appelants, celle-ci aurait logiquement été posée sur le flanc droit de l'enfant, ce qui ne peut dès lors expliquer les lésions au niveau dorsal gauche, au niveau de l'hypochondre gauche et de l'avant-bras droit constatées aux urgences pédiatriques le 24 février. Les éléments suscités sont suffisants pour tenir la culpabilité de l'appelant comme établie, malgré l'absence de témoin oculaire direct ou de preuve matérielle irréfutable. Subjectivement, celui-ci ne pouvait pas ne pas se rendre compte que son comportement brutal était de nature à causer des lésions à l'enfant, dont la fragilité était évidente vu son très jeune âge. Les fractures de l'humérus, de la clavicule, ainsi que de plusieurs côtes, et les plus de neufs ecchymoses, dont quatre rappelant la forme de doigts, constatées par le personnel médical sur le corps du nourrisson, ont été infligées intentionnellement par l'appelant, à tout le moins par dol éventuel. La CPAR retient par ailleurs que l'expérience de la vie démontre qu'il est impossible de provoquer tant de fractures à un nourrisson en le retenant, même avec force, dans le seul but de ne pas le laisser tomber. Au vu de ce qui précède, la CPAR exclut toute hypothèse de négligence ou d'accident et relève un contexte général de maltraitance, conformément à l'avis de tous les intervenants. Partant, la CPAR retiendra que l'appelant a agi intentionnellement, à tout le moins par dol éventuel. L'appelant sera reconnu coupable de lésions corporelles simples au sens de l'art. 123 ch. 1 et ch. 2 al. 2 CP. La décision entreprise sera confirmée sur ce point. 3.3.2. En sa qualité de père titulaire de la garde, l'appelant revêtait une position de garant à l'égard de son fils, dont il avait l'obligation d'assurer le développement physique et psychique et envers lequel il avait un devoir de protection. En infligeant, de manière répétée pendant les deux premiers mois de vie de son fils, des lésions corporelles à celui-ci et en adoptant envers lui une attitude agressive, n'hésitant pas à lui crier dessus, en le menaçant, lorsqu'il ne cessait pas de pleurer, ou le posant brutalement, faisant usage d'un langage inapproprié, l'appelant a violé son devoir d'assistance. Les lésions répétées infligées par l'appelant à son fils ses deux premiers mois de vie sont de nature à causer des séquelles durables sur un enfant de cet âge. En particulier, les fractures des côtes et de l'humérus, constatées le 24 février 2015, étaient d'apparence ancienne, sans qu'il soit possible de les dater précisément. Elles ont donc été diagnostiquées longtemps après avoir été occasionnées, ce qui aurait pu aboutir, de manière vraisemblable, à des séquelles durables si les fractures ne s'étaient pas soignées correctement d'elles-mêmes. Par chance, tel n'a pas été le cas et l'enfant ne semble pas présenter de séquelle. Il n'en demeure pas moins que le comportement adopté par l'appelant envers lui a concrètement mis son développement physique en danger et était de nature à lui occasionner des séquelles durables. Le comportement de l'appelant envers l'enfant était également de nature à lui occasionner des séquelles psychiques durables. Il est établi qu'il avait un comportement et une attitude brutaux. Aux termes de l'acte d'accusation, il lui est notamment reproché d'avoir crié sur le nourrisson en le menaçant de le frapper s'il ne cessait de pleurer, agitant son doigt en sa direction, ainsi que de l'avoir posé brutalement sur la table d'auscultation en lui criant des propos inappropriés. Selon l'expérience de la vie, même un nourrisson de cet âge garde des séquelles psychiques d'un comportement agressif à son encontre, ce d'autant plus lorsqu'il est l'œuvre de son propre père, soit un gardien de référence. Ses pleurs nocturnes ressemblant à un " dinosaure qu'on égorge " démontrent bien l'inconfort et la détresse du bébé face à un père menaçant et haussant le ton. Ensuite du comportement de son père, l'enfant a dû être placé. Une telle séparation d'avec ses parents est également susceptible d'avoir des conséquences sur son développement psychique. Partant, le développement psychique de l'intimé a bien été mis en danger concrètement. Il ne fait pas de doute que l'appelant a pris intentionnellement, à tout le moins par dol éventuel, le risque important de lui occasionner des séquelles durables en le violentant physiquement et psychiquement de la sorte ; en particulier en lien avec les fractures de l'humérus et des côtes, dans la mesure où les parents ne les ont pas portées à la connaissance des médecins, mais qu'elles ont été constatées ultérieurement lors du bilan radiologique complet effectué le 24 février 2015. Or, de l'avis du Dr L______, un bébé qui présente de telles lésions est un bébé qui va mal. Partant, l'appelant sera reconnu coupable de violation du devoir d'assistance ou d'éducation (art. 219 CP). La décision entreprise sera également confirmée sur ce point. 3.4.1. Au cours du premier mois de vie de l'enfant, l'appelante a informé les sages-femmes et sa meilleure amie des lésions constatées sur son fils et n'a pas hésité à interpeller le personnel de la santé lorsque cela lui semblait nécessaire. Après son retour de l'UPHA où elle avait demandé son hospitalisation en raison de sa dépression postnatale, elle a fait part des nouveaux hématomes à sa meilleure amie, à l'exclusion de la sage-femme et de la pédiatre, et a avancé la thèse que ceux-ci avaient pu être causés par son compagnon. Elle en fera à nouveau part au corps médical le 23 février 2015, date à laquelle elle a constaté des hématomes en forme de doigts, employant la formule " l'histoire des bleus se répète ". Selon les déclarations de J______, l'appelante était consciente de la brusquerie de son compagnon, mais elle n'avait pas réagi par peur de perdre son enfant et son couple ou, à tout le moins, par peur de perdre la garde de son fils. Ainsi, l'appelante a envisagé, dès la réapparition des bleus à sa sortie de l'UPHA, que son fils était victime de maltraitances de la part de son compagnon. Cela étant, entre le 5 février et le 23 février 2015, il n'est pas établi que l'intimé aurait subi d'autres lésions que les hématomes dont l'appelante avait fait part à sa meilleure amie à sa sortie de l'UPHA. Lorsqu'elle a constaté les ecchymoses en forme de doigts sur le corps de son fils, le 23 février 2015, la mère a immédiatement alerté la sage-femme et la pédiatre. Considérant la brève période qui s'est écoulée entre sa sortie de l'UPHA et la constatation des ecchymoses le 23 février 2015, ainsi que l'absence de nouvelles lésions établies durant ce laps de temps, un doute subsiste quant au comportement de l'appelante, dès le moment où elle a acquis la conscience que son fils était victime de maltraitance. Les seules indications à ce sujet sont les déclarations de J______, dont on peut déduire que l'appelante nourrissait désormais des soupçons. Cela n'est cependant pas suffisant pour retenir, au-delà du doute, qu'elle était suffisamment consciente de la situation pour que l'omission de réagir puisse lui être reprochée pénalement. Pour ces raisons, la CPAR ne retiendra pas l'infraction de lésions corporelles simples par omission. L'appelante sera ainsi acquittée sur ce point. 3.4.2. Pour les mêmes motifs, la CPAR ne retiendra pas une mise en danger concrète du développement physique et psychique de son enfant à l'encontre de l'appelante, celle-ci ayant réagi adéquatement à la suite de la constatation des nouvelles ecchymoses. Partant, l'appelante sera également acquittée du chef de violation du devoir d'assistance ou d'éducation.</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4.1.2. Conformément à l'art. 34 CP, la peine pécuniaire est fixée en jours-amende dont le tribunal fixe le nombre en fonction de la culpabilité de l'auteur (al. 1). Le juge en fixe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4.1.4. Conformément à l'art. 42 al. 1 CP, le juge suspend en règle générale l'exécution d'une peine pécuniaire ou d'une peine privative de liberté de deux ans au plus lorsqu'une peine ferme ne paraît pas nécessaire pour détourner l'auteur d'autres crimes ou délits. Si le juge suspend totalement l'exécution d'une peine, il impartit au condamné un délai d'épreuve de deux à cinq ans (art. 44 al. 1 CP). Le juge peut imposer des règles de conduite pour la durée du délai d'épreuve (al. 2). Les règles de conduite que le juge peut imposer au condamné pour la durée du délai d'épreuve portent notamment sur des soins médicaux et psychologiques (art. 94 CP). La règle de conduite ne doit pas avoir un rôle exclusivement punitif, mais être conçue en premier lieu dans l'intérêt du condamné, de manière à ce qu'il puisse la respecter. Elle doit avoir un effet éducatif limitant le danger de récidive (ATF 130 IV 1 consid. 2.1). 4.1.5. En vertu de l'art. 11 al. 4 CP, le juge peut atténuer la peine lorsqu'un crime ou un délit a été commis par omission. 4.2.1. La faute de l'appelant est sérieuse. Celui-ci s'en est pris à l'intégrité corporelle de son fils, un nourrisson sans défense âgé de quelques jours seulement et dont il avait une charge particulière, dès lors que les capacités parentales de sa compagne étaient amoindries au moment des faits. Il a agi à plusieurs reprises, infligeant à son fils une fracture de la clavicule gauche, plusieurs fractures aux côtes, une fracture de l'humérus, ainsi qu'un nombre important de lésions qui se sont manifestées par l'apparition d'hématomes. Le nombre de blessures est impressionnant au regard de la relativement brève période en cause. Ce faisant, il a mis concrètement en danger son développement tant physique que psychique. L'absence de maîtrise de sa colère ne peut être excusée par l'état de fatigue dans lequel il se trouvait. Il doit néanmoins être tenu compte de sa situation personnelle, laquelle était objectivement difficile, en tout cas depuis la reprise de son activité professionnelle. Son état d'épuisement et la charge d'une compagne en dépression postnatale et d'un nourrisson peuvent en partie expliquer les faits, mais en aucun cas les excuser. Il est notamment difficilement compréhensible qu'après avoir causé une première lésion significative, s'agissant d'une fracture à la clavicule, l'appelant ait persisté dans ses éclats. Il y a concours d'infractions au sens de l'art. 49 al. 1 CP justifiant une aggravation de la peine dans une juste proportion. La peine privative de liberté de quatorze mois prononcée par le premier juge prend adéquatement en compte les éléments suscités. Le sursis, au demeurant justifié, lui est acquis (art. 391 al. 2 CPP). Il en va de même du délai d'épreuve de quatre ans, qui n’est pas contesté. La peine prononcée ainsi que ses modalités seront dès lors confirmées. 4.2.2. La règle de conduite consistant en un suivi psychothérapeutique portant sur ses problèmes de violence imposée par le Tribunal de police à l'appelant est adéquate et vise un but éducatif de prise de conscience de la gravité des actes et de maîtrise de sa colère, laquelle s'est exprimée sous forme de violence verbale et physique à l'encontre de son fils. Dès lors, la CPAR la confirmera, étant précisé que l'appelant n'a pas expliqué en quoi ce point du jugement entrepris devrait être annulé. En revanche, la règle de conduite consistant en un suivi portant sur la consommation de marijuana prononcée à l'encontre de l'appelant ne se justifie pas dans le cas d'espèce, l'instruction n'ayant pas établi de lien entre celle-ci et les lésions infligées à l'intimé. Partant, le jugement entrepris sera également annulé sur ce point.</w:t>
      </w:r>
    </w:p>
    <w:p>
      <w:r>
        <w:rPr>
          <w:b/>
        </w:rPr>
        <w:t>E. 5</w:t>
      </w:r>
    </w:p>
    <w:p>
      <w:r>
        <w:t>Le nourrisson a subi des souffrances physiques et, sans doute, psychiques, d'abord de peur, en présence de son père, puis dues à la séparation d'avec ses parents. Il n'est cependant pas établi qu'elles ont concrètement eu des effets durables. Une indemnité de CHF 2'500.- est plus proportionnée aux souffrances subies que celle prononcée en première instance. Acquittée des chefs d'inculpation à l'égard de son enfant, l'appelante ne sera pas astreinte au versement de cette somme. La décision entreprise sera réformée sur ce point. L'appelant sera donc seul condamné au paiement à son fils de CHF 2'500.- à titre de réparation du tort moral.</w:t>
      </w:r>
    </w:p>
    <w:p>
      <w:r>
        <w:rPr>
          <w:b/>
        </w:rPr>
        <w:t>E. 6</w:t>
      </w:r>
    </w:p>
    <w:p>
      <w:r>
        <w:t>6.1. Au sens de l'art. 428 al. 3 CPP, si l'autorité de recours rend elle-même une nouvelle décision, elle se prononce également sur les frais fixés par l'autorité inférieure.</w:t>
      </w:r>
    </w:p>
    <w:p>
      <w:r>
        <w:rPr>
          <w:b/>
        </w:rPr>
        <w:t>E. 6.2</w:t>
      </w:r>
    </w:p>
    <w:p>
      <w:r>
        <w:t>Compte tenu de l'acquittement de l'appelante prononcé en appel, il y a lieu de revoir la question des frais de première instance mis à la charge de celle-ci, en ce sens qu'ils seront laissés à charge de l'Etat.</w:t>
      </w:r>
    </w:p>
    <w:p>
      <w:r>
        <w:rPr>
          <w:b/>
        </w:rPr>
        <w:t>E. 7</w:t>
      </w:r>
    </w:p>
    <w:p>
      <w:r>
        <w:t>L'appel de la prévenue ayant été admis, il ne sera pas perçu de frais à son encontre (art. 438 al. 1 CPP a contrario ). L'appelant, qui succombe quasi intégralement, supportera la moitié des frais de la procédure envers l'État (art. 428 CPP), qui comprennent un émolument de CHF 2'000.-. Le solde de ces frais sera laissé à la charge de l'Etat.</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l'équivalent de la TVA est versé en sus. 8.2.2. Le nombre d'heures nécessaires pour assurer la défense d'office du prévenu est décisif pour fixer la rémunération de l'avocat (art. 16 al. 2 RAJ ;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8.2.3.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contrairement aux cas où un examen plus poussé s'impose, notamment aux fins de déterminer l'opportunité d'un recours au plan cantonal ( AARP/184/2016 du 28 avril 2016 consid. 5.3.1 et AARP/158/2016 du 22 avril 2016 consid. 6.3). Par ailleurs,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 8.3.1. En l'occurrence, s'agissant de l'état de frais du défenseur d'office de l'appelant, les échanges de courriers avec le client, les autres parties et la CPAR, n'ayant pas nécessité un investissement particulier en terme de travail juridique, doivent être considérés comme étant compris dans le forfait. Il en va de même de la réception des différentes pièces et ordonnances, lesquels n'ont pas appelé de réaction. Partant, l'activité du défenseur d'office de l'appelant sera rémunérée, au taux horaire réservé aux chefs d'étude, à concurrence de trois heures pour la rédaction du mémoire d'appel (CHF 600.-), plus l'indemnisation forfaitaire par 10% (le temps consacré à l'ensemble du dossier dépassant les trente heures ; CHF 60.-) et la TVA, au taux de 8% (CHF 52.80), selon la pratique transitoire du Pouvoir judiciaire, soit un total de CHF 712.80. 8.3.2. Le temps consacré à la rédaction de l'annonce d'appel, de la déclaration d'appel et des brèves déterminations, détaillé dans les états de frais du défenseur d'office de l'appelante, est compris dans l'indemnisation forfaitaire conformément aux critères rappelés ci-dessus. De surcroît, les faits n'étant essentiellement pas contestés par la cliente et le dossier étant censé bien connu de l'avocat, qui venait de le plaider en première instance, il ne se justifiait pas de consacrer dix heures à la rédaction du mémoire d'appel, cinq heures apparaissant adéquates, pas plus que ne s'imposaient trois heures d'entretien avec la cliente, une heure pour l'orienter sur les chances de succès et les coûts en cas de rejet, ainsi que pour recueillir ses déterminations, suffisant. Partant, l'activité du défenseur d'office de l'appelante sera rémunérée, au taux horaire réservé aux chefs d'étude, à concurrence de cinq heures pour la rédaction du mémoire d'appel, une heure pour la réception du jugement motivé et une heure d'entretien avec le client (CHF 1'400.-), plus l'indemnisation forfaitaire par 10% (le temps consacré à l'ensemble du dossier dépassant les trente heures ; CHF 140.-) et la TVA, au taux de 8% (CHF 123.20), selon la pratique transitoire du Pouvoir judiciaire, soit un total de CHF 1'663.20.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