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P/6981/2013 vom 17. Dezember 2013</w:t>
      </w:r>
    </w:p>
    <w:p>
      <w:r>
        <w:t>GE Cour de justice, 2013-12-17, FR</w:t>
      </w:r>
    </w:p>
    <w:p>
      <w:r>
        <w:rPr>
          <w:b/>
        </w:rPr>
        <w:t xml:space="preserve">Quelle: </w:t>
      </w:r>
      <w:r>
        <w:t>https://mcp.opencaselaw.ch/entscheid/ge_gerichte_P_6981_2013</w:t>
      </w:r>
    </w:p>
    <w:p>
      <w:r>
        <w:t>FR: GE_GERICHTE P/6981/2013 du 17 décembre 2013</w:t>
      </w:r>
    </w:p>
    <w:p>
      <w:r>
        <w:t>IT: GE_GERICHTE P/6981/2013 del 17 dicembre 2013</w:t>
      </w:r>
    </w:p>
    <w:p>
      <w:pPr>
        <w:pStyle w:val="Heading2"/>
      </w:pPr>
      <w:r>
        <w:t>Regeste</w:t>
      </w:r>
    </w:p>
    <w:p>
      <w:r>
        <w:t>RÉPLIQUE; CONDITION DE RECEVABILITÉ; INTÉRÊT JURIDIQUEMENT PROTÉGÉ; LÉSÉ; INFRACTIONS EN MATIÈRE DE LP; CRÉANCIER; ABUS DE CONFIANCE; DROIT DE RÉTENTION | CPP.382; CPP.115; CP.163; CP.323; CPP.310; CP.138; CC.895</w:t>
      </w:r>
    </w:p>
    <w:p>
      <w:pPr>
        <w:pStyle w:val="Heading2"/>
      </w:pPr>
      <w:r>
        <w:t>Erwägungen</w:t>
      </w:r>
    </w:p>
    <w:p>
      <w:r>
        <w:rPr>
          <w:b/>
        </w:rPr>
        <w:t>E. 1</w:t>
      </w:r>
    </w:p>
    <w:p>
      <w:r>
        <w:t>Selon la jurisprudence, le droit de "réplique" existe indépendamment du fait qu'un second échange d'écritures a été ordonné, qu'un délai pour se déterminer a été fixé ou que l'écriture a été communiquée uniquement pour information (ATF 133 I 98 consid. 2.2 p. 99). Si une partie considère qu'il est nécessaire de répliquer à une prise de position qui lui est notifiée, elle doit sans retard soit requérir l'autorisation de se déterminer, soit adresser sa réplique au tribunal (ATF 138 I 484 consid. 2.2 p. 486; 133 I 100 consid. 4.8 p. 105; 132 I 42 consid. 3.3.3 et 3.3.4 p. 47; arrêt de la Cour européenne des droits de l'homme Joos c. Suisse du 15 novembre 2012 [requête n° 43245/07], §§ 27 ss, spécialement §§ 30-32). Une autorité ne peut considérer, après un délai de moins de dix jours depuis la communication d'une détermination à une partie, que celle-ci a renoncé à répliquer et rendre sa décision (cf. arrêts du Tribunal fédéral 2C_560/2012 et 2C_561/2012 du 21 janvier 2013 consid. 4.4; 9C.1069/2008 du 2 mars 2009). En l'espèce, la duplique spontanée de la recourante expédiée moins de dix jours après la communication des dernières observations de l'intimé doit donc être considérée comme recevable quant à la forme.</w:t>
      </w:r>
    </w:p>
    <w:p>
      <w:r>
        <w:rPr>
          <w:b/>
        </w:rPr>
        <w:t>E. 2</w:t>
      </w:r>
    </w:p>
    <w:p>
      <w:r>
        <w:t>2.1. Le recours a, certes, été déposé selon la forme et dans le délai prescrits - faute d'une quelconque indication quant à la date de notification de l'ordonnance querellée - (art. 396 al. 1, 390 al. 1 et 385 al. 1 CPP), concerne une décision du Ministère public sujette à recours auprès de la Chambre de céans (art. 20 al. 1 let. b et 393 al. 1 let. a CPP) et a été formé pour violation du droit, comme la loi l'y autorise (art. 393 al. 2 let. a CPP). Il sied toutefois d'examiner la qualité pour recourir de la personne dont il émane.</w:t>
      </w:r>
    </w:p>
    <w:p>
      <w:r>
        <w:rPr>
          <w:b/>
        </w:rPr>
        <w:t>E. 2.2</w:t>
      </w:r>
    </w:p>
    <w:p>
      <w:r>
        <w:t>Selon l'art. 382 al. 1 CPP, seule la partie qui a un intérêt juridiquement protégé à l'annulation ou à la modification d'une décision a qualité pour recourir contre celle-ci.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soit notamment le cessionnaire, la personne subrogée ex contractu , l'actionnaire ou l'ayant droit économique d'une personne morale, en cas d'infraction commise à son détriment (arrêt du Tribunal fédéral 1B_294/2013 du 24 septembre 2013 consid. 2.1). L'art. 163 CP, qui réprime la banqueroute frauduleuse et la fraude dans la saisie, et l'art. 164 CP, qui punit la diminution effective de l'actif au préjudice des créanciers, figurent parmi les infractions contre le patrimoine (art. 137 à 172ter CP). Ces dispositions tendent à protéger, d'une part, les créanciers et, d'autre part, la poursuite pour dettes elle-même, en tant que moyen d'assurer le respect des droits. Dès lors, les créanciers individuels directement touchés sont légitimés à se constituer partie plaignante dans la procédure pénale (arrêt du Tribunal fédéral 6B_252/2013 du 14 mai 2013 consid. 2.2). L'art. 323 CP, qui réprime l'inobservation par le débiteur des règles de la procédure de poursuite pour dettes ou de faillite, n'a pas pour vocation de protéger des intérêts pécuniaires, mais le respect des règles d'administration de la justice dans le domaine de l'exécution forcée (ATF 102 IV 172 consid. 2b p. 174).</w:t>
      </w:r>
    </w:p>
    <w:p>
      <w:r>
        <w:rPr>
          <w:b/>
        </w:rPr>
        <w:t>E. 2.3</w:t>
      </w:r>
    </w:p>
    <w:p>
      <w:r>
        <w:t>En l'espèce, vu la décision de suspension de la faillite faute d'actifs, aucun état de collocation n'a été établi, si bien qu'il n'est pas possible de se fonder sur un tel document afin de déterminer si la recourante était, en plus d'être débitrice de la faillie, aussi sa créancière, donc lésée par l'éventuelle commission d'une infraction à l'art. 163 CP. Or, la recourante souhaite obtenir la restitution du véhicule BMW objet du présent litige et, en ce sens, elle soutient détenir une créance en restitution du véhicule en nature, voire de sa valeur résiduelle. Dans une procédure de faillite ordinaire, elle aurait dû passer par la voie de la revendication (art. 242 LP), afin de reprendre possession du bien qui lui appartient. La LP distingue les créanciers, qui composent la masse passive, des " tiers " propriétaires d'un bien en main du failli (voir art. 232 al. 2 ch. 2 LP). Ceux-ci ne sauraient être assimilés à ceux-là, donc à des créanciers du failli au sens de l'art. 163 CP. D'autre part, la recourante n'explique absolument pas en quoi la revendication de son véhicule a été rendue plus difficile par le silence du prévenu devant l'Office des faillites. À supposer qu'il ait évoqué l'existence de la voiture et du droit de rétention dont disposait sa société sur celui-ci, le véhicule, ou plutôt le droit de rétention, serait entré dans la masse active et aurait pu faire l'objet d'une procédure en réalisation d'un gage soumise à la LP, à laquelle se serait certainement opposée la recourante. Quant à la situation qui prévaut actuellement, même si, curieusement, le prévenu n'en a pas parlé lors de son interrogatoire à l'Office des faillite, il n'a jamais fait de mystère autour de l'existence et de la localisation du véhicule. Partant, dans les deux cas, une action judiciaire similaire serait nécessaire à la recourante pour reprendre possession du bien qui lui appartient. Ainsi, on ne discerne pas, et la recourante ne l'explique pas, de quelle façon elle a été lésée ou aurait pu l'être par la commission de l'infraction de banqueroute frauduleuse qu'elle reproche à l'intimé. Faute d'avoir la qualité de créancière au sens de la LP, et donc d'être lésée, la recourante, qui ne peut pas se constituer partie plaignante, n'a pas la qualité pour recourir en l'espèce. Cette qualité ne saurait pas plus reposer sur l'art. 323 CP, puisque cet article a vocation à protéger uniquement l'intérêt général et ne peut donc pas fonder un intérêt juridique au recours contre une ordonnance de refus d'entrer en matière. En ce qu'il concerne des infractions liées à la faillite, le recours est donc irrecevable. Il sied toutefois d'entrer en matière concernant le grief reposant sur l'abus de confiance (art. 138 CP), dès lors que la recourante invoque à ce titre un droit patrimonial lui appartenant.</w:t>
      </w:r>
    </w:p>
    <w:p>
      <w:r>
        <w:rPr>
          <w:b/>
        </w:rPr>
        <w:t>E. 3</w:t>
      </w:r>
    </w:p>
    <w:p>
      <w:r>
        <w:t>La recourante soutient que le prévenu s'est approprié illégitimement un véhicule qui avait été confié à la société qu'il dirigeait.</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s'agit, en particulier, des cas où la preuve d'une infraction, soit de la réalisation de ses éléments constitutifs, n'est manifestement pas apportée par les pièces dont dispose le Ministère public, et où aucun acte d'enquête ne paraît pouvoir apporter des éléments susceptibles de renforcer les charges contre la personne visée (R. PFISTER-LIECHTI (éd.), La procédure pénale fédérale, Fondation pour la formation continue des juges suisses, Berne 2010, p. 62).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w:t>
      </w:r>
    </w:p>
    <w:p>
      <w:r>
        <w:rPr>
          <w:b/>
        </w:rPr>
        <w:t>E. 3.2</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p. 259 ; 121 IV 23 consid. 1c p. 25 ; arrêt du Tribunal fédéral 6B_17/2009 du 16 mars 2009 consid 2.1.1.). Du point de vue subjectif, l'auteur doit agir intentionnellement, avec le dessein de se procurer ou de procurer à un tiers un enrichissement illégitime, qui peut être réalisé par dol éventuel (ATF 118 IV 32 consid. 2a p. 34). L'enrichissement ne sera pas illégitime si l'auteur y a droit (ou croit qu'il y a droit en raison d'une erreur sur les faits). En particulier, le dessein d'enrichissement illégitime fait défaut si l'auteur entend ainsi recouvrer une créance (ATF 105 IV 29 consid. 3 p. 35 et suivante). L'élément subjectif de l'infraction n'est pas donné en cas de capacité de restituer ( Ersatzbereitschaft ), par quoi l'on désigne l'état de l'auteur qui peut justifier d'avoir, dès lors que la créance était exigible, eu à tout moment la volonté et la possibilité de présenter l'équivalent des montant employés (ATF 118 IV 32 consid. 2a p. 34).</w:t>
      </w:r>
    </w:p>
    <w:p>
      <w:r>
        <w:rPr>
          <w:b/>
        </w:rPr>
        <w:t>E. 3.3</w:t>
      </w:r>
    </w:p>
    <w:p>
      <w:r>
        <w:t>En l'espèce, le prévenu croit être légitimé à conserver la voiture litigieuse en raison d'un droit de rétention fondé sur l'art. 895 CC, bien que, comparant en personne, il s'en tienne à la terminologie du profane. Il en découle que le dessein d'enrichissement illégitime fait manifestement défaut, dès lors qu'aucun élément du dossier ne contredit cette constatation et qu'aucun acte d'enquête n'est suggéré par la recourante. Au vu de l'argumentation embryonnaire du recours sur ce point et du fait que la recourante ne remette pas en cause la version du prévenu, c'est à juste titre que le Ministère public n'avait pas même envisagé l'application de cette disposition dans l'ordonnance querellée. Par conséquent, la non-entrée en matière était fondée.</w:t>
      </w:r>
    </w:p>
    <w:p>
      <w:r>
        <w:rPr>
          <w:b/>
        </w:rPr>
        <w:t>E. 4</w:t>
      </w:r>
    </w:p>
    <w:p>
      <w:r>
        <w:t>La recourante, qui succombe, supportera les frais de la procédure envers l'État (art. 428 al. 1 CPP). Bien que l'intimé, prévenu, obtienne gain de cause, il n'y a pas lieu de lui octroyer une indemnité pour les dépenses occasionnées par l'exercice raisonnable de ses droits de procédure, comme le prévoit l'art. 429 al. 1 let. a CPP, par renvoi de l’art. 436 al. 1 CPP. En effet, si l'art. 429 al. 2 CPP indique que "l'autorité pénale examine d'office les prétentions du prévenu" et qu'elle "peut enjoindre à celui-ci de les chiffrer et de les justifier", encore faut-il, à rigueur de texte, que ledit prévenu émette des prétentions d'indemnisation, soit expressément - notamment dans les conclusions de son recours ou le corps de ses écritures -, voire implicitement - comme ses explications peuvent le laisser entendre -, à défaut de quoi cette question ne saurait être abordée ( ACPR/379/2012 du 18 septembre 2012; ACPR/127/2013 du 5 avril 2013). Or, en l'espèce, l'intimé n'a émis, expressément ou implicitement, aucune prétention d'indemnisation dans son recours, de sorte qu'on peut en inférer qu'il y a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