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P/6973/2023 vom 12. September 2023</w:t>
      </w:r>
    </w:p>
    <w:p>
      <w:r>
        <w:t>GE Cour de justice, 2023-09-12, FR</w:t>
      </w:r>
    </w:p>
    <w:p>
      <w:r>
        <w:rPr>
          <w:b/>
        </w:rPr>
        <w:t xml:space="preserve">Quelle: </w:t>
      </w:r>
      <w:r>
        <w:t>https://mcp.opencaselaw.ch/entscheid/ge_gerichte_P_6973_2023</w:t>
      </w:r>
    </w:p>
    <w:p>
      <w:r>
        <w:t>FR: GE_GERICHTE P/6973/2023 du 12 septembre 2023</w:t>
      </w:r>
    </w:p>
    <w:p>
      <w:r>
        <w:t>IT: GE_GERICHTE P/6973/2023 del 12 settembre 2023</w:t>
      </w:r>
    </w:p>
    <w:p>
      <w:pPr>
        <w:pStyle w:val="Heading2"/>
      </w:pPr>
      <w:r>
        <w:t>Regeste</w:t>
      </w:r>
    </w:p>
    <w:p>
      <w:r>
        <w:t>SÉQUESTRE(MESURE PROVISIONNELLE);SOUPÇON | CPP.197; CPP.263</w:t>
      </w:r>
    </w:p>
    <w:p>
      <w:pPr>
        <w:pStyle w:val="Heading2"/>
      </w:pPr>
      <w:r>
        <w:t>Erwägungen</w:t>
      </w:r>
    </w:p>
    <w:p>
      <w:r>
        <w:rPr>
          <w:b/>
        </w:rPr>
        <w:t>E. 1</w:t>
      </w:r>
    </w:p>
    <w:p>
      <w:r>
        <w:t>Le recours a été interjeté selon la forme et dans le délai prescrits (art. 385 al. 1 et 396 al. 1 CPP) et concerne une ordonnance sujette à recours auprès de la Chambre de céans (art. 393 al. 1 let. a CPP; Y. JEANNERET / A. KUHN / C. PERRIER DEPEURSINGE (éds), Commentaire romand : Code de procédure pénale suisse,</w:t>
      </w:r>
    </w:p>
    <w:p>
      <w:r>
        <w:rPr>
          <w:b/>
        </w:rPr>
        <w:t>E. 2</w:t>
      </w:r>
    </w:p>
    <w:p>
      <w:r>
        <w:t>Le recourant se plaint d'une violation de l'art. 263 CPP. ![endif]&gt;![if&gt; Il ne consacre néanmoins aucun développement pour s'opposer à l'ordre de dépôt (ordonnance 5), si bien que ce point ne sera pas examiné plus en avant.</w:t>
      </w:r>
    </w:p>
    <w:p>
      <w:r>
        <w:rPr>
          <w:b/>
        </w:rPr>
        <w:t>E. 2.1</w:t>
      </w:r>
    </w:p>
    <w:p>
      <w:r>
        <w:t>Selon l'art. 197 al. 1 CPP, toute mesure de contrainte doit être prévue par la loi (let. a), répondre à l'existence de soupçons suffisants laissant présumer une infraction (let. b), respecter le principe de la proportionnalité (let. c) et apparaître justifiée au regard de la gravité de l'infraction (let. d).</w:t>
      </w:r>
    </w:p>
    <w:p>
      <w:r>
        <w:rPr>
          <w:b/>
        </w:rPr>
        <w:t>E. 2.2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Une telle mesure est fondée sur la vraisemblance (ATF 126 I 97 consid. 3d/aa).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ATF 140 IV 57 consid. 4.1.2 et les références citées).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 Bâle 2019, n. 17/22 ad art. 263).</w:t>
      </w:r>
    </w:p>
    <w:p>
      <w:r>
        <w:rPr>
          <w:b/>
        </w:rPr>
        <w:t>E. 2.3</w:t>
      </w:r>
    </w:p>
    <w:p>
      <w:r>
        <w:t>En l'espèce, une plainte a été déposée contre le recourant pour escroquerie et abus de confiance. Des pièces produites à l'appui, il ressort que le recourant a effectivement perçu des montants substantiels de la part du plaignant ou de sociétés, dont l'identité du ou des animateur(s) ou ayant(s) droit est sans pertinence en l'état. Le Ministère public dispose ainsi d'une liste de versements, dénoncés comme litigieux, sur plusieurs comptes appartenant au recourant. L'instruction n'étant qu'à ses balbutiements, ces premiers éléments permettaient au Ministère public d'ordonner le séquestre des comptes bancaires concernés et de la documentation contractuelle y relative. Il appartient maintenant au Ministère public d'examiner dans les meilleurs délais la documentation bancaire afin de renforcer – ou infirmer – les soupçons pesant contre le recourant et, dans la seconde hypothèse, de lever les séquestres sur les avoirs de ce dernier, dans la mesure du nécessaire. Quant aux arguments soulevés par le recourant par-devant l'instance précédente et la Chambre de céans, aucun n'a trait à l'usage effectif des montants reçus. Ils ne permettent donc pas d'exclure, en l'état, que ces sommes furent détournées de leur destination initiale. À cet égard, le recourant allègue en vain être le créancier du plaignant ou avoir signé avec celui-ci un acte notarié pour solde de tout compte, accord qui est, d'ailleurs, contesté.</w:t>
      </w:r>
    </w:p>
    <w:p>
      <w:r>
        <w:rPr>
          <w:b/>
        </w:rPr>
        <w:t>E. 3</w:t>
      </w:r>
    </w:p>
    <w:p>
      <w:r>
        <w:t>Justifiées, les ordonnances querellées seront donc confirmées.![endif]&gt;![if&gt;</w:t>
      </w:r>
    </w:p>
    <w:p>
      <w:r>
        <w:rPr>
          <w:b/>
        </w:rPr>
        <w:t>E. 4</w:t>
      </w:r>
    </w:p>
    <w:p>
      <w:r>
        <w:t>Le recourant, qui succombe, supportera les frais envers l'État, fixés en intégralité à CHF 900.- (art. 428 al. 1 CPP et 13 al. 1 du Règlement fixant le tarif des frais en matière pénale, RTFMP ;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