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P/6960/2015 vom 28. April 2016</w:t>
      </w:r>
    </w:p>
    <w:p>
      <w:r>
        <w:t>GE Cour de justice, 2016-04-28, FR</w:t>
      </w:r>
    </w:p>
    <w:p>
      <w:r>
        <w:rPr>
          <w:b/>
        </w:rPr>
        <w:t xml:space="preserve">Quelle: </w:t>
      </w:r>
      <w:r>
        <w:t>https://mcp.opencaselaw.ch/entscheid/ge_gerichte_P_6960_2015</w:t>
      </w:r>
    </w:p>
    <w:p>
      <w:r>
        <w:t>FR: GE_GERICHTE P/6960/2015 du 28 avril 2016</w:t>
      </w:r>
    </w:p>
    <w:p>
      <w:r>
        <w:t>IT: GE_GERICHTE P/6960/2015 del 28 aprile 2016</w:t>
      </w:r>
    </w:p>
    <w:p>
      <w:pPr>
        <w:pStyle w:val="Heading2"/>
      </w:pPr>
      <w:r>
        <w:t>Regeste</w:t>
      </w:r>
    </w:p>
    <w:p>
      <w:r>
        <w:t>FIXATION DE LA PEINE ; RÉCIDIVE(INFRACTION) ; DISPOSITIONS PÉNALES DE LA LSTUP ; SURSIS À L'EXÉCUTION DE LA PEINE ; RÉVOCATION DU SURSIS | CP47; CP42.2; LStup19.2.a; CP46.2; CPP135</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L'intimé ne conteste plus sa culpabilité pour l'ensemble des faits qui lui sont reprochés. Le verdict de culpabilité sera ainsi confirmé, les conditions posées par l'art. 19 al. 2 let. a LStup étant réalisées eu égard à la jurisprudence et à la doctrine applicables à l'aggravante de la quantité d'héroïne (ATF 119 IV 180 ; arrêt du Tribunal fédéral 6B_908/2008 du 5 février 2009 consid. 4.1 ; B. CORBOZ, Les infractions en droit suisse , 3 e édition, Berne 2010, vol. II, n. 81 p. 917).</w:t>
      </w:r>
    </w:p>
    <w:p>
      <w:r>
        <w:rPr>
          <w:b/>
        </w:rPr>
        <w:t>E. 3</w:t>
      </w:r>
    </w:p>
    <w:p>
      <w:r>
        <w:t>. L'appelant reproche aux premiers juges le prononcé d'une peine trop clémente.</w:t>
      </w:r>
    </w:p>
    <w:p>
      <w:r>
        <w:rPr>
          <w:b/>
        </w:rPr>
        <w:t>E. 3.1</w:t>
      </w:r>
    </w:p>
    <w:p>
      <w:r>
        <w:t>Selon l'art. 47 du code pénal,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 (ATF 121 IV 202 consid. 2d/aa p. 204 ; 118 IV 342 consid. 2d p. 349).</w:t>
      </w:r>
    </w:p>
    <w:p>
      <w:r>
        <w:rPr>
          <w:b/>
        </w:rPr>
        <w:t>E. 3.2</w:t>
      </w:r>
    </w:p>
    <w:p>
      <w:r>
        <w:t>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w:t>
      </w:r>
    </w:p>
    <w:p>
      <w:r>
        <w:rPr>
          <w:b/>
        </w:rPr>
        <w:t>E. 3.3</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 arrêt du Tribunal fédéral 6B_352/2014 du 22 mai 2015 consid. 7.1. non publié in ATF 141 IV 273 ).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 Lorsque l'hypothèse visée par l'art. 42 al. 2 CP est réalisée, un sursis partiel au sens de l'art. 43 CP est exclu (arrêt du Tribunal fédéral 6B_352/2014 précité).</w:t>
      </w:r>
    </w:p>
    <w:p>
      <w:r>
        <w:rPr>
          <w:b/>
        </w:rPr>
        <w:t>E. 3.4</w:t>
      </w:r>
    </w:p>
    <w:p>
      <w:r>
        <w:t>La faute de l'intimé, qu'il relativise en arguant avoir agi sous la contrainte, est lourde, au-delà de la brève période de son activité délictuelle. La véracité de son récit des mauvais traitements subis en Albanie est douteuse, tant il apparait peu vraisemblable qu'il ait reçu les instructions d'agir comme décrit. Il y a lieu de relever à cet égard que l'intimé n'a pas attendu 2015 pour être actif dans le trafic de stupéfiants, sa première condamnation remontant à 2011, soit à une date où il n'avait en tout état pas eu à subir les instructions contraignantes de F______. Confier une quantité d'héroïne de plusieurs centaines de grammes, d'une valeur marchande de quelques dizaines de milliers de francs, à son "meilleur ennemi" tient de la fiction. Le schéma décrit par l'intimé ne répond à aucune logique, tant il est vrai qu'on voit mal un trafiquant de stupéfiants prendre le risque de faire sortir en plein jour, qui plus est par un "traître", des stocks d'héroïne soigneusement dissimulés jusque-là pour les acheminer auprès d'un quasi inconnu, sans que l'opération ne se solde par une remise d'argent. L'implication de l'intimé n'est pas aussi limitée qu'il le prétend, référence étant faite aux traces ADN relevées sur des sachets minigrip laissés dans la cache des D______. Ses explications à cet égard ne convainquent pas, ce qui conduit la CPAR à conclure à plusieurs opérations dont s'est fait auteur l'intimé, y compris celle consistant, antérieurement au 8 avril 2015, à cacher ou vérifier l'emplacement des sachets minigrip dans la cache des toilettes. Son rôle ne peut être défini avec précision, faute de collaboration ou d'explications convaincantes. Il reste que l'intimé n'est pas comme il aime à se définir un simple transporteur de stupéfiants d'un point A (les caches dans les toilettes) à un point B (un bistrot où devait l'attendre un Arabe). Tout trafiquant ne confie pas à un individu lambda de telles quantités de stupéfiants, surtout sans exercer quelque surveillance. La confiance est la condition sine qua non de la réussite d'une telle opération. L'intimé disposait de celle du commanditaire ainsi que d'une certaine latitude dans l'organisation de ses actes, ce qui explique par exemple qu'il ait laissé dans les caches des quantités importantes de stupéfiants. L'intimé a fini par reconnaître les faits reprochés. Il a passablement tergiversé avant d'admettre sa culpabilité relative à la détention des stupéfiants laissés dans les caches, limitant longtemps sa culpabilité à la drogue saisie sur lui. L'intimé avait d'autres moyens de faire face à ses besoins familiaux, ne serait-ce qu'en travaillant dans son pays comme il en a exprimé l'intention. Sa prise de conscience est faible, pour ne pas dire inexistante, sinon pour les infractions à la LEtr. Il n'a certes pas cherché à les éluder mais il est vrai qu'il n'avait guère le choix de faire autrement. Il y a concours d'infractions, ce qui conduit à une aggravation de la peine. Un autre facteur négatif tient aussi aux récidives intervenues depuis 2011. Si l'importance de celles en matière de violation de la LEtr doit être relativisée, il en va tout autrement en matière de LStup. Il y a certes la condamnation de 2011 mais aussi l'incarcération préventive de 2013 qui auraient dû lui ouvrir les yeux. Au regard des considérations qui précèdent, la peine de trois ans de privation de liberté infligée par les premiers juges est insuffisante. Bien plus, il est incompréhensible qu'un sursis partiel ait été octroyé, en violation de l'art. 42 al. 2 CP qui l'empêche. L'intimé ne peut en effet se prévaloir de circonstances particulièrement favorables qui autoriseraient la CPAR à faire exception à la règle posée à l'art. 42 al. 1 CP ab initio, ce que les premiers juges ont au demeurant omis d'examiner. De telles circonstances sont inexistantes au regard d'une récidive spécifique en matière de LStup. Les conclusions de l'appelant doivent ainsi être admises, tant il est vrai qu'une peine de quatre ans de privation de liberté doit être tenue pour adaptée à la gravité de la faute et aux circonstances de la commission des infractions. Ainsi, la CPAR admettra le bien-fondé des conclusions du Ministère public portant sur la peine, avec pour effet d'annuler le jugement du Tribunal correctionnel sur ce point et de le modifier en conséquence.</w:t>
      </w:r>
    </w:p>
    <w:p>
      <w:r>
        <w:rPr>
          <w:b/>
        </w:rPr>
        <w:t>E. 4</w:t>
      </w:r>
    </w:p>
    <w:p>
      <w:r>
        <w:t>4.1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 er mai 2014 consid. 2.1).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 arrêt du Tribunal fédéral 6B_1165/2013 précité consid. 2.2).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6B_1165/2013 ibidem ).</w:t>
      </w:r>
    </w:p>
    <w:p>
      <w:r>
        <w:rPr>
          <w:b/>
        </w:rPr>
        <w:t>E. 4.2</w:t>
      </w:r>
    </w:p>
    <w:p>
      <w:r>
        <w:t>La présente sanction est la première d'envergure subie par l'intimé, lequel avait certes accompli quatre mois de détention en 2013 mais sous forme de détention avant jugement. La privation de liberté subie avait débouché sur un classement pour les charges les plus lourdes. Quoiqu'il en soit, la détention de 2013 est sans commune mesure avec celle qu'a subie l'intimé jusqu'à ce jour et qu'il subira jusqu'à l'issue de sa peine. La peine de quatre ans apparaît dans cette mesure comme une sanction dissuasive en soi et de nature à lui faire comprendre son devoir de respecter à l'avenir les normes pénales qu'il a transgressées, qu'il s'agisse de la LStup ou de la LEtr. La révocation du sursis de 2011 a d'autant moins de sens que la sanction est une peine pécuniaire, peu adaptée à la situation de l'intimé qui retrouvera son pays d'origine à l'issue de sa peine. Aussi y sera-t-il renoncé. Dans cette mesure, le jugement du Tribunal correctionnel sera également réformé.</w:t>
      </w:r>
    </w:p>
    <w:p>
      <w:r>
        <w:rPr>
          <w:b/>
        </w:rPr>
        <w:t>E. 5</w:t>
      </w:r>
    </w:p>
    <w:p>
      <w:r>
        <w:t>Les motifs ayant conduit les premiers juges à prononcer, par ordonnance séparée du 11 janvier 2016, le maintien de l'intimé en détention pour des motifs de sûreté sont toujours d'actualité. L'intimé s'y oppose, mais il y a lieu de retenir tant un risque de fuite qu'un risque de récidive au vu de sa situation précaire et de ses antécédents. Au vu de ce qui précède, la mesure sera reconduite par ordonnance séparée (ATF 139 IV 277 consid. 2.2 à 2.3).</w:t>
      </w:r>
    </w:p>
    <w:p>
      <w:r>
        <w:rPr>
          <w:b/>
        </w:rPr>
        <w:t>E. 6</w:t>
      </w:r>
    </w:p>
    <w:p>
      <w:r>
        <w:t>L'intimé, qui succombe, supportera les frais de la procédure envers l'État (art. 428 CPP), lesquels comprennent un émolument de procédure de CHF 2'500.- (art. 14 al. 1 let. e du Règlement fixant le tarif des frais en matière pénale du 22 décembre 2010 [RTFMP ; E 4 10.03]).</w:t>
      </w:r>
    </w:p>
    <w:p>
      <w:r>
        <w:rPr>
          <w:b/>
        </w:rPr>
        <w:t>E. 7</w:t>
      </w:r>
    </w:p>
    <w:p>
      <w:r>
        <w:t>. 7.1 Les frais imputables à l'assistance juridique pour la défense d'office (art. 135 al. CPP)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7.2.1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 7.2.2 À teneur de la jurisprudence, est décisif pour fixer la rémunération de l'avocat, le nombre d'heures nécessaires pour assurer la défense d'office du prévenu (arrêt du Tribunal fédéral 2C_509/2007 du 19 novembre 2007 consid. 4).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 L'avocat [doit] ainsi veiller au respect du principe de proportionnalité (R. Hauser / E. Schweri / K. Hartmann, Schweizerisches Strafprozessrecht , 6 e éd., Bâle 2005, no 5 ad § 109).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rPr>
          <w:b/>
        </w:rPr>
        <w:t>E. 7.3</w:t>
      </w:r>
    </w:p>
    <w:p>
      <w:r>
        <w:t>En l'occurrence, considéré dans sa globalité, l'état de frais produit par le défenseur d'office de A______ parait adéquat et conforme aux principes qui précèdent, de sorte qu'il n'est pas nécessaire de reprendre le détail des postes qui le composent. Aussi l'indemnité requise par le défenseur d'office de A______ sera-t-elle admise à hauteur de CHF 2'462.40, ce montant correspondant à neuf heures et quart d'activité, y compris la durée des audiences, au tarif de CHF 200.-/heure [CHF 1'850.-], un déplacement à CHF 50.- plus la majoration forfaitaire de 20 % [CHF 380.-] et l'équivalent de la TVA au taux de 8% [CHF 182.40].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