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P/6930/2020 vom 12. August 2022</w:t>
      </w:r>
    </w:p>
    <w:p>
      <w:r>
        <w:t>GE Cour de justice, 2022-08-12, FR</w:t>
      </w:r>
    </w:p>
    <w:p>
      <w:r>
        <w:rPr>
          <w:b/>
        </w:rPr>
        <w:t xml:space="preserve">Quelle: </w:t>
      </w:r>
      <w:r>
        <w:t>https://mcp.opencaselaw.ch/entscheid/ge_gerichte_P_6930_2020</w:t>
      </w:r>
    </w:p>
    <w:p>
      <w:r>
        <w:t>FR: GE_GERICHTE P/6930/2020 du 12 août 2022</w:t>
      </w:r>
    </w:p>
    <w:p>
      <w:r>
        <w:t>IT: GE_GERICHTE P/6930/2020 del 12 agosto 2022</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 la décision querellée ayant été notifiée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2.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3.4</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rPr>
          <w:b/>
        </w:rPr>
        <w:t>E. 3.5</w:t>
      </w:r>
    </w:p>
    <w:p>
      <w:r>
        <w:t>En l'espèce, l'indigence du recourant n'a pas été examinée. Cette question peut toutefois rester ouverte vu ce qui suit. Le Ministère public a condamné le recourant, par ordonnance pénale frappée d'opposition, à une peine pécuniaire de 30 jours-amende pour injures (art. 177 al. 1 CP). Même si l'on tient compte de la nouvelle plainte déposée par la plaignante et d'un risque d'aggravation de la peine par le Tribunal de police, force est de constater que le recourant reste, en dépit de ses antécédents judiciaires, concrètement passible d'une peine moins élevée que celle au-delà de laquelle on peut considérer que l'affaire n'est pas de peu de gravité selon l'art. 132al. 3 CPP. La révocation du sursis accordé le 5 décembre 2017 apparaît d'ailleurs peu vraisemblable, le Ministère public y ayant expressément renoncé.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s'est déjà exprimé à leur égard, reconnaissant avoir injurié la plaignante mais contestant l'avoir menacée. Il a ainsi parfaitement compris ce qui lui est reproché et donné des explications précises tant à la police qu'au Ministère public. Même en l'absence de connaissances juridiques, il est à même de s'exprimer sur la quotité de la peine, ainsi qu'il l'a fait dans le cadre de son opposition. Enfin, rien ne permet de retenir que d'autres motifs que ceux prévus à l'art. 132 al. 2 CPP justifieraient une défense d'office. Partant, c'est à juste titre que la défense d'office a été refusée par le Ministère public. Pour le surplus, le recourant semble soutenir que son état de santé appelle une défense obligatoire au sens de l'art. 130 let. c CPP. Or, la situation alléguée n'est pas établie et l'éventuel impact de celle-ci sur ses capacités cognitives n'est aucunement étayé ou documenté.</w:t>
      </w:r>
    </w:p>
    <w:p>
      <w:r>
        <w:rPr>
          <w:b/>
        </w:rPr>
        <w:t>E. 4</w:t>
      </w:r>
    </w:p>
    <w:p>
      <w:r>
        <w:t>Justifiée, la décision querellée sera donc confirmée.</w:t>
      </w:r>
    </w:p>
    <w:p>
      <w:r>
        <w:rPr>
          <w:b/>
        </w:rPr>
        <w:t>E. 5</w:t>
      </w:r>
    </w:p>
    <w:p>
      <w:r>
        <w:t>La procédure de recours contre un refus d'octroi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