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P/6929/2018 vom 5. Juni 2019</w:t>
      </w:r>
    </w:p>
    <w:p>
      <w:r>
        <w:t>GE Cour de justice, 2019-06-05, FR</w:t>
      </w:r>
    </w:p>
    <w:p>
      <w:r>
        <w:rPr>
          <w:b/>
        </w:rPr>
        <w:t xml:space="preserve">Quelle: </w:t>
      </w:r>
      <w:r>
        <w:t>https://mcp.opencaselaw.ch/entscheid/ge_gerichte_P_6929_2018</w:t>
      </w:r>
    </w:p>
    <w:p>
      <w:r>
        <w:t>FR: GE_GERICHTE P/6929/2018 du 5 juin 2019</w:t>
      </w:r>
    </w:p>
    <w:p>
      <w:r>
        <w:t>IT: GE_GERICHTE P/6929/2018 del 5 giugno 2019</w:t>
      </w:r>
    </w:p>
    <w:p>
      <w:pPr>
        <w:pStyle w:val="Heading2"/>
      </w:pPr>
      <w:r>
        <w:t>Regeste</w:t>
      </w:r>
    </w:p>
    <w:p>
      <w:r>
        <w:t>FIXATION DE LA PEINE ; COMPÉTENCE ; CONCOURS D'INFRACTIONS | CP.47; CP.42; CP.49; CPP.334.al1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121 IV 202 consid. 2.d.bb p. 204 s. ; 120 IV 136 consid. 3b p. 144 s. ; arrêts du Tribunal fédéral 6B_1165/2014 du 28 octobre 2015 consid. 2.5.1 ; 6B_754/2013 du 26 novembre 2013 consid. 3.4.1). Il faut d'abord déterminer les contributions respectives des coauteurs.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144 IV 217 consid. 3.5 p. 231 s. ; arrêt du Tribunal fédéral 6B_1216/2017 du 11 juin 2018 consid. 1.1.1), en tenant là aussi compte de toutes les circonstances y relatives (arrêts du Tribunal fédéral 6B_1175/2017 du 11 avril 2018 consid. 2.1 in medio ; 6B_688/2014 du 22 décembre 2017 consid. 27.2.1). Le prononcé d'une peine unique dans le sens d'un examen global de tous les délits à juger n'est pas possible (ATF 144 IV 217 consid. 3.5.4 p. 235 ; 144 IV 313 consid. 1.1.2 p. 317 s.). Le juge a l'obligation d'aggraver la peine en cas de concours d'infraction (ATF 103 IV 225 ; arrêt du Tribunal fédéral 6B_1216/2017 du 11 juin 2018 consid. 1.1.1).</w:t>
      </w:r>
    </w:p>
    <w:p>
      <w:r>
        <w:rPr>
          <w:b/>
        </w:rPr>
        <w:t>E. 2.3</w:t>
      </w:r>
    </w:p>
    <w:p>
      <w:r>
        <w:t>A teneur de l'art. 40 CP, la durée minimale de la peine privative de liberté est de trois jours ; elle peut être plus courte si la peine privative de liberté est prononcée par conversion d'une peine pécuniaire ou d'une amende non payées (al. 1). La durée de la peine privative de liberté est de 20 ans au plus. Lorsque la loi le prévoit expressément, la peine privative de liberté est prononcée à vie (al. 2). 2.4.1. Aux termes de l'art. 334 al. 1 CPP, lorsque le tribunal arrive à la conclusion que l'affaire pendante devant lui peut déboucher sur une peine ou une mesure qui dépasse sa compétence, il transmet l'affaire au tribunal compétent, au plus tard à la fin des plaidoiries. Celui-ci reprend la procédure probatoire depuis le début. 2.4.2. L'art. 96 de la loi sur l'organisation judiciaire du 26 septembre 2010 (LOJ ; E 2 05) prévoit que le Tribunal de police connaît des infractions à propos desquelles le Ministère public entend requérir l'amende, une peine pécuniaire, un travail d'intérêt général ou une peine privative de liberté ne dépassant pas deux ans, révocation de sursis et réintégration comprises (al. 1). Le Tribunal de police est lié par ce maximum de peine. S'il estime qu'une peine supérieure doit être prononcée, l'article 334 CPP s'applique (al. 2). 2.5.1. Selon l'art. 42 al. 1 CP, le juge suspend en règle générale l'exécution d'une peine pécuniaire ou d'une peine privative de liberté de deux ans au plus lorsqu'une peine ferme ne parait pas nécessaire pour détourner l'auteur d'autres crimes ou délits. 2.5.2. Aux termes de l'art. 43 al. 1 CP,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p. 277 ; 134 IV 1 consid. 5.3.1 p. 10).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 arrêts du Tribunal fédéral 6B_869/2016 du 1 er juin 2017 consid. 4.3 ; 6B_244/2010 du 4 juin 2010 consid. 1).</w:t>
      </w:r>
    </w:p>
    <w:p>
      <w:r>
        <w:rPr>
          <w:b/>
        </w:rPr>
        <w:t>E. 2.6</w:t>
      </w:r>
    </w:p>
    <w:p>
      <w:r>
        <w:t>En l'occurrence, la faute de l'appelant est lourde. Il a agi à trois épisodes distincts en un peu plus d'un mois, se rendant à Genève depuis N______ dans l'unique but d'y commettre des vols de scooters. Seule l'intervention de la police a pu arrêter ses agissements dont la fréquence ainsi que le mode d'exécution dénotent la grande organisation et détermination de l'appelant et son mépris tant pour le patrimoine d'autrui que pour la sécurité routière. Ses mobiles sont égoïstes et relèvent de l'appât du gain facile, même à considérer que l'appelant ait commis les vols afin de rembourser une dette de jeu. Il est encore relevé qu'il a déterminé E______ à agir. Sa collaboration est relativement bonne. L'appelant a certes reconnu les vols des scooters du ______ 2018, le vol d'usage, la conduite sans permis de conduire et les violations des règles de la circulation routière, mais pouvait difficilement faire autrement au vu des circonstances de son interpellation. Il a toutefois varié sur la question de l'usage de fausses plaques. Alors qu'il est vrai qu'il s'est auto-incriminé s'agissant des vols commis en ______ 2018, ses aveux suivaient ceux de E______ qui reconnaissait, certes sans spécifier qui étaient les personnes impliquées, qu'ils étaient venus à Genève pour commettre des vols durant le mois en question. Le fait d'avoir tenté de couvrir D______ n'est pas retenu en sa défaveur. L'appelant semble commencer à prendre conscience de sa faute et de la nécessité de changer de comportement, ce qui est confirmé par sa soeur. Il a toutefois essayé de justifier ses actes par une pression extérieure, ce qui soulève des doutes quant à l'ampleur de sa prise de conscience. L'appelant parait en effet ne pas avoir totalement abandonné l'idée que la commission d'infractions serait un moyen de résoudre un problème. Même si la précarité de sa situation personnelle et les pressions qu'il dit avoir subies sont susceptibles d'expliquer, en partie, ses agissements, elles ne sauraient les justifier, ce que l'appelant reconnait d'ailleurs. Sa situation difficile apparait au demeurant être surtout imputable à son propre comportement qui lui a valu une dizaine de condamnations depuis 2013, l'ancrant durablement dans la délinquance. Les antécédents de l'appelant sont nombreux et en partie spécifiques. Il y a concours entre les infractions de vol en bande et par métier, de vol d'usage, de conduite sans autorisation, d'usage abusif de permis et de plaques et de violations graves des règles de la circulation routière, toutes sanctionnées d'une peine privative de liberté. Les actes abstraitement les plus graves au sens de l'art. 49 al. 1 CP sont ceux qualifiés de vol en bande et par métier. Aussi, la CPAR juge appropriée une peine privative de liberté de 16 mois. Afin de tenir compte du concours, il conviendra d'augmenter cette peine de trois mois pour les violations graves des règles de la circulation routière, trois mois pour le vol d'usage, ainsi qu'un mois tant pour la conduite sans autorisation que pour l'usage abusif de permis et de plaques, d'où une peine privative de liberté de deux ans. S'agissant de la différence entre les peines infligées aux coauteurs, il sied de relever qu'outre les infractions commises en commun avec D______ et E______, l'appelant a été reconnu coupable de trois infractions supplémentaires d'une gravité supérieure à celles commises par D______, ce qui justifie en soi le prononcé d'une peine plus lourde. Les nombreuses peines privatives de liberté prononcées à l'encontre de l'appelant ne l'ont pas dissuadé de récidiver. Malgré l'existence d'un début de prise de conscience et d'un soutien familial allégué, il est relevé qu'eu égard au parcours criminel de l'appelant, à son manque de formation professionnelle et à l'incertitude de la réalisation de ses projets de travail, il ne peut être exclu qu'il retombe dans la délinquance lorsqu'il se voit confronté à des adversités de nature financière notamment. On ne saurait dès lors poser un pronostic favorable, si bien que les conditions du sursis ne sont pas réalisées. En prononçant tant une peine privative de liberté de deux ans qu'une peine pécuniaire de 20 jours-amende, le Tribunal de police a outrepassé sa compétence en matière de fixation de peines. Vu le stade de la procédure, un renvoi de l'affaire au Tribunal correctionnel ne se justifie pas et n'est au demeurant pas demandé par les parties. Il convient dès lors de confirmer la condamnation de l'appelant pour empêchement d'accomplir un acte officiel, qui n'est d'ailleurs pas contestée, mais de l'exempter de toute peine pour cette infraction. Le jugement querellé sera réformé dans cette mesure.</w:t>
      </w:r>
    </w:p>
    <w:p>
      <w:r>
        <w:rPr>
          <w:b/>
        </w:rPr>
        <w:t>E. 3</w:t>
      </w:r>
    </w:p>
    <w:p>
      <w:r>
        <w:t>Les motifs ayant conduit le premier juge à prononcer, par ordonnance séparée du 29 octobre ( recte : novembre) 2018, le maintien de l'appelant en détention pour des motifs de sûreté sont toujours d'actualité, de sorte que la mesure sera reconduite mutatis mutandis (ATF 139 IV 277 consid. 2.2 s. p. 281).</w:t>
      </w:r>
    </w:p>
    <w:p>
      <w:r>
        <w:rPr>
          <w:b/>
        </w:rPr>
        <w:t>E. 4.1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 du Tribunal fédéral 6B_472/2018 du 22 août 2018 consid. 1.2).</w:t>
      </w:r>
    </w:p>
    <w:p>
      <w:r>
        <w:rPr>
          <w:b/>
        </w:rPr>
        <w:t>E. 4.2</w:t>
      </w:r>
    </w:p>
    <w:p>
      <w:r>
        <w:t>Compte tenu de la confirmation de la peine privative de liberté fixée par le premier juge, seule une exemption de peine pour le chef d'infraction d'empêchement d'accomplir un acte officiel ayant été prononcée, il n'y a pas lieu de revoir la répartition des frais fixés en première instance. En effet, la problématique de la compétence du Tribunal de police, soulevée d'office par la CPAR, ainsi que son impact très réduit sur la peine considérée dans son ensemble, ne sauraient justifier sa modification (art. 428 al. 3 CPP).</w:t>
      </w:r>
    </w:p>
    <w:p>
      <w:r>
        <w:rPr>
          <w:b/>
        </w:rPr>
        <w:t>E. 4.3</w:t>
      </w:r>
    </w:p>
    <w:p>
      <w:r>
        <w:t>Pour les mêmes motifs, l'appelant supportera les frais de la procédure d'appel, qui comprennent un émolument de jugement de CHF 1'500.- (art. 428 al. 1 CPP et art. 14 al. 1 let. e du règlement fixant le tarif des frais en matière pénale du 22 décembre 2010 [RTFMP ; RS/GE E 4 10.03]).</w:t>
      </w:r>
    </w:p>
    <w:p>
      <w:r>
        <w:rPr>
          <w:b/>
        </w:rPr>
        <w:t>E. 5.1</w:t>
      </w:r>
    </w:p>
    <w:p>
      <w:r>
        <w:t>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5.4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5.5</w:t>
      </w:r>
    </w:p>
    <w:p>
      <w:r>
        <w:t>En application de ces principes, il se justifie de retrancher de l'état de frais de M e C______ une heure d'entretien avec l'appelant à la prison de B______ le ______ 2019, l'assistance juridique ne couvrant qu'une seule visite par mois. Le poste audition au Tribunal des mesures de contrainte relève vraisemblablement d'une erreur. A sa place, il sera retenu une heure et 30 minutes d'audience devant la CPAR. En conclusion, l'indemnité sera arrêtée à CHF 2'167.80, correspondant à huit heures d'activité au tarif de CHF 200.-/heure, audience comprise, la majoration forfaitaire de 20% (CHF 320.-), la vacation à l'audience de CHF 100.- et l'équivalent de la TVA au taux de 7.7% en CHF 147.80.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