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P/689/2018 vom 24. Februar 2020</w:t>
      </w:r>
    </w:p>
    <w:p>
      <w:r>
        <w:t>GE Cour de justice, 2020-02-24, FR</w:t>
      </w:r>
    </w:p>
    <w:p>
      <w:r>
        <w:rPr>
          <w:b/>
        </w:rPr>
        <w:t xml:space="preserve">Quelle: </w:t>
      </w:r>
      <w:r>
        <w:t>https://mcp.opencaselaw.ch/entscheid/ge_gerichte_P_689_2018</w:t>
      </w:r>
    </w:p>
    <w:p>
      <w:r>
        <w:t>FR: GE_GERICHTE P/689/2018 du 24 février 2020</w:t>
      </w:r>
    </w:p>
    <w:p>
      <w:r>
        <w:t>IT: GE_GERICHTE P/689/2018 del 24 febbraio 2020</w:t>
      </w:r>
    </w:p>
    <w:p>
      <w:pPr>
        <w:pStyle w:val="Heading2"/>
      </w:pPr>
      <w:r>
        <w:t>Regeste</w:t>
      </w:r>
    </w:p>
    <w:p>
      <w:r>
        <w:t>OBTENTION ILLICITE DE PRESTATIONS D'UNE ASSURANCE SOCIALE | LPG.LEI.al1.ch115; CP.146; CP.148.leta; LIASI.55; CP.66a.al1.lete</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L'autorité de recours ne peut pas modifier une décision au détriment du prévenu ou du condamné si le recours a été interjeté uniquement en sa faveur (art. 391 al. 2 1 ère phrase CPP). L'existence d'une reformatio in pejus doit être examinée à l'aune du dispositif. Le dispositif de la dernière décision en cause ne doit pas être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(ATF 142 IV 129 consid. 4.5).</w:t>
      </w:r>
    </w:p>
    <w:p>
      <w:r>
        <w:rPr>
          <w:b/>
        </w:rPr>
        <w:t>E. 2.2</w:t>
      </w:r>
    </w:p>
    <w:p>
      <w:r>
        <w:t>En cas d'obtention illicite de prestations sociales, il existe trois niveaux d'infractions. Celui qui trompe astucieusement l'aide sociale sera sanctionné du chef d'escroquerie (art. 146 CP ; cf. infra consid. 2.3). Lorsque, sans adopter un comportement astucieux, l'auteur aura induit l'aide sociale en erreur ou aura conforté celle-ci dans l'erreur, il sera puni en vertu de l'art. 148a CP ( cf . infra consid. 2.4). Les infractions mineures seront sanctionnées par le droit pénal cantonal en matière d'aide sociale (à Genève : art. 55 LIASI, cf . infra consid. 2.5).</w:t>
      </w:r>
    </w:p>
    <w:p>
      <w:r>
        <w:rPr>
          <w:b/>
        </w:rPr>
        <w:t>E. 2.4</w:t>
      </w:r>
    </w:p>
    <w:p>
      <w:r>
        <w:t>L'art. 148a CP, entré en vigueur le 1 er octobre 2016, punit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(art. 148a al. 1 CP). L'art. 148a CP couvre les cas dans lesquels l'infraction d'escroquerie n'est pas réalisée, parce que l'auteur n'agit pas astucieusement. Sont ainsi comprises toutes les formes de tromperie, soit en principe lorsque l'auteur fournit des informations fausses ou incomplètes, dissimule sa situation financière ou personnelle réelle (p. ex. à propos de son état de santé), ou passe certains faits sous silence ( cf. Message du Conseil fédéral concernant une modification du code pénal et du code pénal militaire [Mise en oeuvre de l'art. 121, al. 3 à 6, Cst. relatif au renvoi des étrangers criminels] du 26 juin 2013, FF 2013 5'432ss [Message du Conseil fédéral du 26 juin 2013]). Dans cette dernière hypothèse (" en passant sous silence "), l'art. 148a 2 ème hyp. CP décrit une infraction d'omission proprement dite (arrêt du Tribunal fédéral 6B_1015/2019 du 4 décembre 2019 consid. 4.5.2 ; Message du Conseil fédéral du 26 juin 2013, p. 5432). Pour que l'infraction d'obtention illicite de prestations d'une assurance sociale soit consommée, l'erreur dans laquelle la tromperie active ou passive a mis ou conforté l'aide sociale doit avoir déterminé celle-ci à verser des prestations indues à l'auteur ou à un tiers. La réalisation de l'infraction résulte de l'obtention de prestations d'une assurance sociale auxquelles la personne n'a pas droit. Les prestations doivent avoir été effectivement versées. La simple allocation est insuffisante (Message du Conseil fédéral du 26 juin 2013, p. 5433). Sur le plan subjectif, l'infraction est intentionnelle. Il faut d'une part que l'auteur sache, au moment des faits, qu'il induit l'aide sociale en erreur ou la conforte dans son erreur et, d'autre part, qu'il ait l'intention d'obtenir une prestation sociale à laquelle lui-même ou le tiers auquel il la destine n'a pas droit (Message du Conseil fédéral du 26 juin 2013, p. 5433).</w:t>
      </w:r>
    </w:p>
    <w:p>
      <w:r>
        <w:rPr>
          <w:b/>
        </w:rPr>
        <w:t>E. 2.5</w:t>
      </w:r>
    </w:p>
    <w:p>
      <w:r>
        <w:t>A moins qu'une peine plus sévère soit instaurée en vertu du CP, l'art. 55 LIASI prévoit la punissabilité de toute personne qui, par des indications fausses ou incomplètes, ou de toute autre manière, obtient ou tente d'obtenir pour lui-même ou pour autrui, des prestations d'aide financière indues. L'art. 33 al. 1 LIASI prévoit que le bénéficiaire de l'aide sociale ou son représentant légal doit immédiatement déclarer à l'HG tout fait nouveau de nature à entraîner la modification du montant des prestations d'aide financière qui lui sont allouées ou leur suppression.</w:t>
      </w:r>
    </w:p>
    <w:p>
      <w:r>
        <w:rPr>
          <w:b/>
        </w:rPr>
        <w:t>E. 2.6</w:t>
      </w:r>
    </w:p>
    <w:p>
      <w:r>
        <w:t>En l'espèce, l'HG a attiré l'attention de l'appelant sur son obligation de déclarer tout renseignement utile à l'évaluation de sa situation financière, notamment sur l'apport à son dossier des relevés de l'ensemble de ses comptes bancaires (par l'assistante sociale, dans le formulaire de demande et dans la lettre d'engagement lors du dépôt de la requête, puis en octobre et novembre 2016). Le formulaire précise expressément que " tous les comptes bancaires / postaux (y compris enfant(s)) " doivent être déclarés. De même, le principe de subsidiarité des aides financières exceptionnelles de l'HG, en particularité par rapport aux autres aides étatiques, notamment les allocations familiales ou prestations d'assurances, a été expliqué à l'appelant lors du premier entretien avec l'assistante sociale de l'HG. Il ressort en effet des déclarations de celle-ci que ce principe est systématiquement expliqué au dépôt de la requête d'aide. Il n'y a pas lieu de douter de sa crédibilité, celle-ci ayant décrit une procédure bien établie, même si elle a admis ne pas se souvenir en particulier des époux A/B______. En outre, la prise en compte du groupe familial et des ressources de chaque individu de celui-ci dans l'établissement de la situation financière, et partant du montant des aides, ressort expressément de la lettre d'engagement, mais aussi du formulaire de demande, lequel comporte des cases dédiées aux éventuelles ressources des enfants et conjoint du requérant (chiffre 10 " ressources des membres du groupe familial ", lettre B " Autres revenus ", chiffre 3. " Allocations familiales "). Alors même qu'il connaissait les impératifs de véracité de ses déclarations, que le principe de subsidiarité lui avait été expliqué et que son assistante sociale venait de l'interpeller à nouveau sur la perception des allocations familiales, l'appelant a tu l'ensemble des sommes perçues de la part du service des allocations familiales à compter du 25 janvier 2016, portant sur un total de CHF 34'277.- pour la période du 25 janvier 2016 au 30 juin 2017. Ces montants ont été versés sur un compte non déclaré à l'HG. Les explications données par l'appelant pour justifier de sa non-déclaration ne convainquent pas. Même s'il est exact que ce compte présentait fin 2014 un solde négatif, il appert des relevés de compte 2014 et antérieurs que l'appelant l'utilisait régulièrement. Il y percevait des indemnisations d'assurance ou des prestations de services étatiques, notamment des allocations familiales, déposait de l'argent et effectuait des retraits, fonction de l'argent disponible. Partant, ce compte était central pour le reflet de la situation financière de la famille et devait de toute évidence être déclaré. De même, l'appelant n'a pas interpellé le service des allocations familiales à réception de la décision de versement, constatant que les sommes allaient être versées sur son compte C______, alors même qu'il avait signé quelques mois auparavant un ordre de paiement en faveur de l'HG. De la sorte, la perception des aides de l'HG, non diminuées du montant des allocations familiales perçues, a été accompagnée d'un silence qualifié de l'appelant qui venait d'être interpellé par l'HG, dite interpellation l'ayant justement conduit au guichet du service des allocations familiales et partant au bénéfice de la décision du 21 janvier 2016 ; le prévenu a décidé de taire le versement desdites allocations et de ne pas signaler qu'elles étaient versées sur un compte non déclaré. Au vu de ce qui précède et du très bref écart de temps entre l'interpellation par l'assistante sociale et le versement de CHF 11'277.-, il n'est plus question d'une escroquerie par omission mais bien d'une tromperie active commise par actes concluants, conformément à la jurisprudence rappelée ci-dessus ( cf. supra consid. 2.2.1). L'HG a été trompé de manière astucieuse. Sur la base des informations fournies et dont elle pouvait attendre qu'elles soient correctes, l'institution a versé à l'appelant des prestations auxquelles il n'avait pas droit, lui permettant selon ce qu'estime l'HG, de s'enrichir de CHF 31'574.90. A cet égard, on relève que l'autorité a pleinement satisfait à son devoir de diligence. Elle a expressément attiré l'attention de l'appelant sur ses obligations, elle a renouvelé ses demandes de déclaration de l'ensemble des comptes bancaires et s'est enquise régulièrement de l'octroi d'allocations familiales. L'appelant ne conteste pas s'être enrichi, puisqu'il a reconnu devoir CHF 30'748.90 à l'HG. L'appelant ne saurait prétendre de bonne foi avoir pensé que les fonds crédités sur son compte C______ par le service des allocations familiales n'avaient pas besoin d'être déclarés parce qu'ils étaient destinés à ses enfants et ne pas avoir voulu s'enrichir en taisant la décision d'octroi et les versements successifs. Tant le formulaire de demande d'aide que la lettre d'engagement précisaient expressément que tout le groupe familial était concerné, y compris les enfants. En outre, le principe de subsidiarité avait été abordé et l'assistante sociale était revenue à la charge plusieurs fois quant au versement des allocations familiales, conduisant finalement en 2017 à la dénonciation de la situation. Il est par ailleurs établi que l'appelant a effectué des prélèvements réguliers sur le compte C______. Enfin, puisqu'il venait d'être interpellé à ce sujet, il eût été facile à l'appelant d'informer l'HG de la perception sur son compte des allocations familiales, s'il était effectivement aussi convaincu de son bon droit et n'avait aucune volonté de tromper astucieusement l'institution. L'appelant a donc agi intentionnellement. Au vu de ce qui précède, les éléments constitutifs de l'escroquerie étant réunis, celle-ci est réalisée (art. 146 CP).</w:t>
      </w:r>
    </w:p>
    <w:p>
      <w:r>
        <w:rPr>
          <w:b/>
        </w:rPr>
        <w:t>E. 2.7</w:t>
      </w:r>
    </w:p>
    <w:p>
      <w:r>
        <w:t>Cela étant, la CPAR constate que : -   l'astuce n'est ni décrite ni même mentionnée dans l'acte d'accusation - qui renvoyait de fait l'accusé en jugement pour infraction à l'art. 148a CP. Dans le respect du principe d'accusation (art. 9 et 325 CPP), l'infraction d'escroquerie ne peut dès lors être retenue et le jugement ne sera pas confirmé sur ce point ; -   aux termes du dispositif du jugement entrepris, A______ est déclaré coupable d'infraction à l'art. 55 LIASI pour les faits commis entre le 1 er juin 2016 et le 23 mai 2017 et d'escroquerie s'agissant des actes effectués entre le 24 mai 2017 et le 30 juin 2017. La procédure a été classée pour la première partie de la période pénale retenue par l'acte d'accusation (soit entre le 1 er mars 2015 et le 30 mai 2016), en application des règles sur la prescription en matière de contravention (art. 109 CP). Partant, liée par l'interdiction de la reformatio in pejus , la CPAR confirmera le dispositif du jugement entrepris en lien avec les faits dénoncés par l'HG sauf en ce qui concerne le verdict de culpabilité pour la période pénale du 24 mai au 30 juin 2017, période pour laquelle l'appelant sera reconnu coupable d'obtention illicite de prestations de l'aide sociale (art. 148a CP) et non d'escroquerie puisque la CPAR est liée par l'état de fait décrit dans l'acte d'accusation. En effet, tous les éléments constitutifs de l'art. 148a CP sont réalisés, les développements qui précèdent étant valables mutatis mutandis . En particulier, le 24 mai 2017, sur question précise de son assistante sociale, l'appelant a déclaré faussement que la demande d'allocations familiales était toujours en cours. De la sorte, il a sciemment trompé l'HG, tout en maintenant celui-ci dans l'erreur quant à la situation financière de la famille, alors qu'il percevait depuis près d'une année et demie des allocations familiales pour ses trois enfants. En définitive, l'appelant sera reconnu coupable d'infraction à l'art. 55 LIASI pour la période du 1 er juin 2016 au 23 mai 2017 et d'obtention illicite de prestations de l'aide sociale entre le 24 mai 2017 et le 30 juin suivant (art. 148a al.1 CP).</w:t>
      </w:r>
    </w:p>
    <w:p>
      <w:r>
        <w:rPr>
          <w:b/>
        </w:rPr>
        <w:t>E. 2.8</w:t>
      </w:r>
    </w:p>
    <w:p>
      <w:r>
        <w:t>Le verdict de culpabilité d'infraction de séjour illégal n'est pas contesté. L'appelant a reconnu avoir séjourné illégalement en Suisse depuis le 26 mars 2015 jusqu'au 18 février 2019. Le jugement entrepris sera confirmé sur ce point.</w:t>
      </w:r>
    </w:p>
    <w:p>
      <w:r>
        <w:rPr>
          <w:b/>
        </w:rPr>
        <w:t>E. 3</w:t>
      </w:r>
    </w:p>
    <w:p>
      <w:r>
        <w:t>3.1. L'obtention illicite de prestations de l'aide sociale et le séjour illégal sont sanctionnés d'une peine privative de liberté d'un an au plus ou d'une peine pécuniaire (art. 148a CP et art. 115 al. 1 let. b LEI). L'art. 55 LIASI réprime l'auteur par une contravention.</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L'art. 47 CP confère un large pouvoir d'appréciation au juge (ATF 136 IV 55 consid. 5.6 ; arrêts du Tribunal fédéral 6B_798/2017 du 14 mars 2018 consid. 2.1 ; 6B_718/2017 du 17 janvier 2018 consid. 3.1 ; 6B_1428/2016 du 3 octobre 2017 consid. 4.1 ; 6B_326/2016 du 22 mars 2017 consid. 4.1).</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w:t>
      </w:r>
    </w:p>
    <w:p>
      <w:r>
        <w:rPr>
          <w:b/>
        </w:rPr>
        <w:t>E. 4</w:t>
      </w:r>
    </w:p>
    <w:p>
      <w:r>
        <w:t>4.1. Conformément à l'art. 66a al. 1 let. e CP, le juge expulse un étranger du territoire suisse pour une durée de cinq à quinze ans s'il est reconnu coupable d'escroquerie (art. 146 al. 1 CP) à une assurance sociale ou à l'aide sociales, obtention illicite de prestations d'une assurance sociale ou de l'aide sociale (art. 148a al. 1 CP) quelle que soit la quotité de la peine prononcée à son encontre. A teneur de l'alinéa 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définit une " Kannvorschrift ", en ce sens que le juge n'a pas l'obligation de renoncer à l'expulsion, mais peut le faire si les conditions fixées par cette disposition sont remplies. Ces conditions sont cumulatives.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4.2.1. La loi ne définit pas ce qu'il faut entendre par une " situation personnelle grave " (première condition cumulative) ni n'indique les critères à prendre en compte dans la pesée des intérêts (seconde condition cumulative). En recourant à la notion de cas de rigueur à l'art. 66a al. 2 CP, le législateur a fait usage d'un concept ancré depuis longtemps dans le droit des étrangers ( cf. art. 30 al. 1 let. b ou 50 al. 1 let. b et 84 al. 5 LEI, ainsi que l'art. 14 de la loi sur l'asile [LAsi ;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3.3.1 et 3.3.2). 4.2.2.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la Constitution fédérale de la Confédération suisse du 18 avril 1999 [Cst. ; RS 101]) et par le droit international, en particulier l'art. 8 de la Convention de sauvegarde des droits de l'homme et des libertés fondamentales du 4 novembre 1950 (CEDH ; RS 0.101 ; arrêt du Tribunal fédéral 6B_1192/2018 du 23 janvier 2019 consid. 2.1.2 et références citées).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 Plaidoyer 5/2016, p. 101 ; G. FIOLKA / L. VETTERLI, Die Landesverweisung in Art. 66a ff StGB als strafrechtliche Sanktion, cahier spécial , Plaidoyer 5/2016, p. 87 ; AARP/185/2017 du 2 juin 2017 consid. 2.2). 4.2.3. L'étranger qui se trouve sous le coup d'un arrêté d'expulsion ne peut en principe revendiquer un droit à rester sur le territoire d'un Etat afin de continuer à bénéficier de l'assistance et des services médicaux, sociaux ou autres fournis par l'Etat de renvoi. Une expulsion peut cependant violer l'art.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(arrêt du Tribunal fédéral 6B_1117/2018 du 11 janvier 2019, consid. 2.3.3). 4.2.4. Pour se prévaloir du respect au droit de sa vie privée au sens de l'art. 8 § 1 CEDH, l'étranger doit établir l'existence de liens sociaux et professionnels spécialement intenses avec la Suisse, notamment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le pays. Il procède bien plutôt à une pesée des intérêts en présence, en considérant la durée du séjour comme un élément parmi d'autres et en n'accordant qu'un faible poids aux années passées en Suisse dans l'illégalité, en prison ou au bénéfice d'une simple tolérance (ATF 134 II 10 consid. 4.3 ; arrêts 6B_143/2019 du 6 mars 2019, consid.3.3.2 et 6B_1329/2018 du 14 février 2019 consid. 2.3.2.). 4.2.5. Un étranger peut se prévaloir de l'art. 8 par. 1 CEDH (et de l'art. 13 Cst.) pour s'opposer à l'éventuelle séparation de sa famille, pour autant qu'il entretienne une relation étroite et effective avec une personne de sa famille ayant le droit de résider durablement en Suisse (ATF 144 I 1 consid. 6.1). La présence d'une famille en Suisse, soit d'une épouse/concubine et d'un enfant, ne peut, à elle seule, commander l'application automatique de la clause de rigueur (arrêt du Tribunal fédéral 6B_143/2019 du 6 mars 2019 consid. 3.4.2).</w:t>
      </w:r>
    </w:p>
    <w:p>
      <w:r>
        <w:rPr>
          <w:b/>
        </w:rPr>
        <w:t>E. 4.3</w:t>
      </w:r>
    </w:p>
    <w:p>
      <w:r>
        <w:t>En l'espèce, l'appelant se prévaut essentiellement de sa relation avec son épouse et ses enfants, ainsi que de son état de santé. Or, sa famille est elle-même sous le coup d'une décision de renvoi de Suisse en force et n'y réside que par tolérance administrative, en lien avec une nouvelle demande d'autorisation de séjour. L'appelant ne semble pas avoir développé de réseau social en Suisse. Bien qu'il ait travaillé - sans autorisation - jusqu'à son accident de travail survenu en 2018, sa famille était aidée par l'aide sociale depuis début 2015. Désormais, celle-ci vit des maigres revenus de son épouse et de l'aide de proches. Un tel séjour ne peut être qualifié de " droit de résider durablement en Suisse " au sens de la jurisprudence et de l'art. 8 CEDH. L'état de santé de l'appelant s'est apparemment aggravé depuis son accident. Cela étant, selon son médecin traitant, il souffre de douleurs chroniques persistantes, en particulier dans l'épaule droite, lesquelles sont traitées par médicaments. Il en est de même des hernies et de la protrusion soulagées par voie anti-inflammatoire. Il ne semble pas être suivi sur le plan psychologique ou psychiatrique. Il a eu une consultation neurologique mais celle-ci avait pour objectif de déterminer si une opération était à envisager, ce qui a été exclu. Partant, rien n'indique que l'appelant ne pourra pas poursuivre son traitement au Kosovo. Compte tenu de l'ensemble de ces éléments, l'appelant ne se trouve pas dans une situation personnelle grave et les intérêts publics à l'expulsion, compte tenu des infractions commises, l'emportent sur l'intérêt privé de celui-ci à demeurer en Suisse. Il apparaît ainsi manifeste qu'aucune des conditions d'application de la clause de rigueur n'est réalisée en l'espèce, l'appelant ne pouvant ni se prévaloir d'une intégration en Suisse, ni de liens suffisamment forts avec des personnes autorisées à y résider. L'appelant soutient en vain que ses chances de réinsertion et le traitement de son état de santé seraient inexistants au Kosovo. Il faut au contraire retenir qu'ils seront à tout le moins aussi bons qu'en Suisse, pays dans lequel il n'a pas développé d'attache au-delà de sa famille proche et ne dispose pas de meilleures perspectives professionnelles. En l'absence de réalisation des conditions de la clause de rigueur, aucun examen de la proportionnalité n'est nécessaire. Ce nonobstant, la CPAR relève encore que le Kosovo, pays d'origine de l'appelant, est désigné par le Secrétariat d'état aux migrations comme un état de provenance sûr au sens de l'art. 6a LAsi ( cf. annexe 2 de l'Ordonnance 1 sur l'asile relative à la procédure du 11 août 1999 [OAI ; RS 142.311]). Infondé, l'appel doit être rejeté et l'expulsion de l'appelant pour une durée de cinq ans confirmée.</w:t>
      </w:r>
    </w:p>
    <w:p>
      <w:r>
        <w:rPr>
          <w:b/>
        </w:rPr>
        <w:t>E. 5</w:t>
      </w:r>
    </w:p>
    <w:p>
      <w:r>
        <w:t>2. Au vu de ce qui précède, en particulier de la confirmation du verdict de culpabilité, la répartition des frais de première instance ne sera pas revue (art. 428 al. 3 CPP).</w:t>
      </w:r>
    </w:p>
    <w:p>
      <w:r>
        <w:rPr>
          <w:b/>
        </w:rPr>
        <w:t>E. 5.1</w:t>
      </w:r>
    </w:p>
    <w:p>
      <w:r>
        <w:t>L'appelant, qui succombe pour l'essentiel, supportera les frais de la procédure envers l'Etat (art. 428 CPP), qui comprennent un émolument de décision de CHF 1'500.-.</w:t>
      </w:r>
    </w:p>
    <w:p>
      <w:r>
        <w:rPr>
          <w:b/>
        </w:rPr>
        <w:t>E. 6</w:t>
      </w:r>
    </w:p>
    <w:p>
      <w:r>
        <w:t>Compte tenu de l'issue de l'appel, l'appelant sera débouté de ses conclusions en indemnisation pour la procédure préliminaire, de première instance et en appel (art. 429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