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P/6895/2023 vom 20. Juni 2023</w:t>
      </w:r>
    </w:p>
    <w:p>
      <w:r>
        <w:t>GE Cour de justice, 2023-06-20, FR</w:t>
      </w:r>
    </w:p>
    <w:p>
      <w:r>
        <w:rPr>
          <w:b/>
        </w:rPr>
        <w:t xml:space="preserve">Quelle: </w:t>
      </w:r>
      <w:r>
        <w:t>https://mcp.opencaselaw.ch/entscheid/ge_gerichte_P_6895_2023</w:t>
      </w:r>
    </w:p>
    <w:p>
      <w:r>
        <w:t>FR: GE_GERICHTE P/6895/2023 du 20 juin 2023</w:t>
      </w:r>
    </w:p>
    <w:p>
      <w:r>
        <w:t>IT: GE_GERICHTE P/6895/2023 del 20 giugno 2023</w:t>
      </w:r>
    </w:p>
    <w:p>
      <w:pPr>
        <w:pStyle w:val="Heading2"/>
      </w:pPr>
      <w:r>
        <w:t>Regeste</w:t>
      </w:r>
    </w:p>
    <w:p>
      <w:r>
        <w:t>DÉCISION D'IRRECEVABILITÉ | CPP.310; Cst.29</w:t>
      </w:r>
    </w:p>
    <w:p>
      <w:pPr>
        <w:pStyle w:val="Heading2"/>
      </w:pPr>
      <w:r>
        <w:t>Erwägungen</w:t>
      </w:r>
    </w:p>
    <w:p>
      <w:r>
        <w:rPr>
          <w:b/>
        </w:rPr>
        <w:t>E. 1.1</w:t>
      </w:r>
    </w:p>
    <w:p>
      <w:r>
        <w:t>Le recours a été déposé selon la forme et dans le délai prescrits (art. 385 al. 1 et 396 al. 1 CPP) – les formalités de notification (art. 85 al. 2 CPP) n'ayant pas été observées – et concerne une ordonnance sujette à recours auprès de la Chambre de céans (art. 393 al. 1 let. a CPP).![endif]&gt;![if&gt;</w:t>
      </w:r>
    </w:p>
    <w:p>
      <w:r>
        <w:rPr>
          <w:b/>
        </w:rPr>
        <w:t>E. 1.2</w:t>
      </w:r>
    </w:p>
    <w:p>
      <w:r>
        <w:t>Selon l'art. 382 al. 1 CPP, toute partie qui a un intérêt juridiquement protégé à l'annulation ou à la modification d'une décision a qualité pour recourir contre celle-ci. L'art. 104 al. 1 let. b CPP précise que la qualité de partie est reconnue à la partie plaignante. À teneur de l'art. 118 al. 1 CPP, seul peut se constituer partie plaignante le lésé qui déclare expressément vouloir participer à la procédure pénale comme demandeur au pénal ou au civil. Selon l'art. 115 CPP, il faut entendre par lésé toute personne dont les droits ont été touchés directement par une infraction (al. 1). De surcroît, sont toujours considérés comme des lésés les personnes qui ont qualité pour déposer plainte pénale au sens de l'art. 30 CP (al. 2). Seul doit être considéré comme lésé celui qui est personnellement et immédiatement touché, c'est-à-dire celui qui est titulaire du bien juridique ou du droit protégé par la loi, contre lequel, par définition, se dirige l'infraction (ATF 119 Ia 342 consid. 2; 119 IV 339 consid. 1d/aa). Il convient d'interpréter le texte de l'infraction pour en déterminer le titulaire et ainsi savoir qui a qualité de lésé (Y. JEANNERET / A. KUHN / C. PERRIER DEPEURSINGE (éds), Commentaire romand : Code de procédure pénale suisse,</w:t>
      </w:r>
    </w:p>
    <w:p>
      <w:r>
        <w:rPr>
          <w:b/>
        </w:rPr>
        <w:t>E. 1.3</w:t>
      </w:r>
    </w:p>
    <w:p>
      <w:r>
        <w:t>Le trust se définit comme un rapport juridique dans lequel le constituant (" settlor ") confie des biens patrimoniaux au " trustee " afin qu'il les gère dans l'intérêt d'un bénéficiaire. Ces biens constituent une masse distincte du patrimoine du " trustee ". Ce dernier en acquiert seul la propriété. Il est chargé d'administrer, de gérer ou de disposer des biens selon les termes du trust (cf. art. 2 de la Convention de La Haye relative à la loi applicable au trust et à sa reconnaissance, entrée en vigueur pour la Suisse le 1er juillet 2007; RS 0.221.371). Les bénéficiaires disposent certes d'une prétention ayant une composante réelle, qui peut leur permettre notamment d'intervenir dans la procédure d'exécution forcée dirigée contre le " trustee " (arrêt du Tribunal fédéral 5C.169/2001 du 19 novembre 2001). Il n'en demeure pas moins que les droits des bénéficiaires et du " trustee " sont de nature différente: seul ce dernier dispose de la propriété et doit être considéré comme lésé au sens de l'art. 115 CPP en cas d'infractions portant sur les biens qui lui ont été confiés en trust (arrêt du Tribunal fédéral 1B_319/2022 du 17 novembre 2022 consid. 2.2.). Lorsque le " trustee " est lui-même impliqué dans la commission de l'infraction – notamment celle de gestion déloyale (art. 158 CP), voire d'abus de confiance (art. 138 CP) –, la qualité de lésé devrait pouvoir être étendue aux bénéficiaires du trust. Sur le plan civil, les rapports juridiques avec les tiers relativement au trust et à ses biens ne concernent en principe que le " trustee " et non pas le bénéficiaire ; c'est en effet le " trustee " qui a la propriété légale des biens et qui en a l'administration ; c'est donc lui qui entre en relation contractuelle avec des tiers en ce qui concerne l'administration des biens et qui est donc en principe le seul à avoir qualité pour ouvrir action en responsabilité civile ou contractuelle contre ces tiers (arrêt du Tribunal fédéral 1B_319/2022 précité consid. 2.2). L'atteinte délictueuse au patrimoine du trust par le " trustee " lui-même ou avec sa complicité viole la convention de trust sur laquelle repose le trust et constitue ce que l'on appelle un " breach of trust ". Le patrimoine du trust doit être géré dans l'intérêt des bénéficiaires. Un " breach of trust " porte donc atteinte aux droits des bénéficiaires, et à leur patrimoine, de manière directe. Dans ce contexte, les bénéficiaires possèdent la qualité de lésé, au sens de l'art. 115 CPP (arrêt du Tribunal pénal fédéral BB.2018.145 du 7 mars 2019 consid. 1.4), et celle pour recourir ( ACPR/534/2014 du 14 novembre 2014 consid. 5.4). 1.4.1. L'art. 181 CP (contrainte) protège, en tant que bien juridique, la liberté de décision et d'action de l'individu (ATF 141 IV 1 consid. 3.3.1). Les victimes de contrainte ne peuvent être que des personnes physiques (M. DUPUIS / L. MOREILLON / C. PIGUET / S. BERGER / M. MAZOU / V. RODIGARI (éds), op. cit. , n. 5 ad art. 181). 1.4.2. L'extorsion au sens de l'art. 156 CP se définit comme le fait d'user, dans un dessein d'enrichissement, d'un moyen de contrainte pour déterminer une personne à réaliser un acte de disposition préjudiciable à ses propres intérêts pécuniaires ou à ceux d'un tiers (M. DUPUIS / L. MOREILLON / C. PIGUET / S. BERGER / M. MAZOU / V. RODIGARI (éds), op. cit. , n. 1 ad art. 156). S'agissant du bien juridique, l'art. 156 CP protège simultanément le patrimoine et la liberté (M. DUPUIS / L. MOREILLON / C. PIGUET / S. BERGER / M. MAZOU / V. RODIGARI (éds), op. cit. , n. 3 ad art. 156).</w:t>
      </w:r>
    </w:p>
    <w:p>
      <w:r>
        <w:rPr>
          <w:b/>
        </w:rPr>
        <w:t>E. 1.5</w:t>
      </w:r>
    </w:p>
    <w:p>
      <w:r>
        <w:t>Dans le cadre de la procédure de recours, le recourant ne remettant pas en cause la non-entrée en matière s'agissant de l'infraction d'escroquerie, cette infraction ne sera pas traitée. Partant, seules les infractions d'abus de confiance, gestion déloyale, contrainte et extorsion et chantage font l'objet de la présente procédure. En l'espèce, conformément à la jurisprudence précitée, le recourant possède la qualité de lésé, dès lors qu'il agit en sa qualité de bénéficiaire du trust et qu'il reproche aux " trustees " des actes d'abus de confiance et de gestion déloyale s'agissant de G______ SA, soit le bien constituant le trust. S'agissant des infractions de contrainte et extorsion et chantage, le recourant a également la qualité pour recourir, dès lors qu'il allègue qu'afin de récupérer l'administration de G______ SA, il avait dû payer une somme d'argent qu'il considérait non due. Partant, le recours est recevable.</w:t>
      </w:r>
    </w:p>
    <w:p>
      <w:r>
        <w:rPr>
          <w:b/>
        </w:rPr>
        <w:t>E. 2</w:t>
      </w:r>
    </w:p>
    <w:p>
      <w:r>
        <w:t>Les faits et moyens de preuve nouveaux sont recevables devant l'instance de recours (arrêt du Tribunal fédéral 1B_550/2020 du 19 novembre 2022 consid. 2.1), de sorte que la pièce nouvelle produite par le recourant sera admise. ![endif]&gt;![if&gt;</w:t>
      </w:r>
    </w:p>
    <w:p>
      <w:r>
        <w:rPr>
          <w:b/>
        </w:rPr>
        <w:t>E. 3.1</w:t>
      </w:r>
    </w:p>
    <w:p>
      <w:r>
        <w:t>Le ministère public rend immédiatement une ordonnance de non-entrée en matière s'il ressort de la dénonciation ou du rapport de police que les éléments constitutifs de l'infraction ou les conditions à l'ouverture de l'action pénale ne sont manifestement pas réunis (art. 310 al. 1 let. a CPP).![endif]&gt;![if&gt;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(arrêt 6B_196/2020 précité ; ATF 143 IV 241 consid. 2.2.1; 138 IV 86 consid. 4.1; et 137 IV 219 consid. 7).</w:t>
      </w:r>
    </w:p>
    <w:p>
      <w:r>
        <w:rPr>
          <w:b/>
        </w:rPr>
        <w:t>E. 3.2</w:t>
      </w:r>
    </w:p>
    <w:p>
      <w:r>
        <w:t>L'obligation de motiver, telle qu'elle découle du droit d'être entendu (art. 29 al. 2 Cst. ; cf. aussi art. 3 al. 2 let. c et 107 CPP), est respectée lorsque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La motivation peut être implicite et résulter des différents considérants de la décision (ATF 143 III 65 consid. 5.3 ; 142 I 135 consid. 2.1 ; 141 III 28 consid. 3.2.4 ; 139 IV 179 consid. 2.2 p. 183 ; arrêt du Tribunal fédéral 6B_226/2019 du 29 mars 2019 consid. 2.1). Une autorité se rend coupable d'un déni de justice formel prohibé par l'art. 29 al. 2 Cst. si elle omet de se prononcer sur des griefs qui présentent une certaine pertinence ou de prendre en considération des allégués et arguments importants pour la décision à prendre (ATF 138 V 125 consid. 2.1 p. 127 ; ATF 135 I 6 consid. 2.1 p. 9 ; arrêt du Tribunal fédéral 6B_868/2016 du 9 juin 2017 consid. 3.1). Si une garantie procédurale n'a pas été respectée, il convient, autant que possible, de remettre la personne lésée dans la situation qui aurait été la sienne si l'exigence en cause n'avait pas été méconnue ; en matière de droit d'être entendu, la réparation consiste à renvoyer le dossier à l'autorité intimée pour qu'elle rende une nouvelle décision après avoir donné à la personne intéressée l'occasion de s'exprimer (arrêt du Tribunal fédéral 1B_85/2010 du 19 avril 2010 consid. 4.2).</w:t>
      </w:r>
    </w:p>
    <w:p>
      <w:r>
        <w:rPr>
          <w:b/>
        </w:rPr>
        <w:t>E. 3.3</w:t>
      </w:r>
    </w:p>
    <w:p>
      <w:r>
        <w:t>En l'espèce, bien que le litige opposant les parties ait une composante civile en raison des demandes en paiement à G______ SA et A______ de factures contestées par ce dernier, cela n'exclut cependant pas d'emblée la commission d'infractions. Or, tant dans sa décision querellée que dans ses observations, le Ministère public s'est contenté de constater que les faits dénoncés ne remplissaient les éléments constitutifs d'aucune infraction pénale et s'inscrivaient dans le cadre d'un litige civil, sans plus ample explication. En agissant ainsi, l'autorité précédente est contrevenue à son obligation de motivation garantie par l'art. 29 Cst., laquelle n'a pas été réparée par-devant la Chambre de céans. Partant, et conformément au respect du principe de double degré de juridiction, la décision querellée sera annulée et la cause renvoyée à l'autorité précédente (art. 397 al 2 CPP) pour qu'elle motive sa position.</w:t>
      </w:r>
    </w:p>
    <w:p>
      <w:r>
        <w:rPr>
          <w:b/>
        </w:rPr>
        <w:t>E. 4</w:t>
      </w:r>
    </w:p>
    <w:p>
      <w:r>
        <w:t>Fondé, le recours doit être admis et partant l'ordonnance querellée annulée.![endif]&gt;![if&gt;</w:t>
      </w:r>
    </w:p>
    <w:p>
      <w:r>
        <w:rPr>
          <w:b/>
        </w:rPr>
        <w:t>E. 5</w:t>
      </w:r>
    </w:p>
    <w:p>
      <w:r>
        <w:t>L'admission du recours ne donne pas lieu à la perception de frais (art. 428 al. 1 CPP), de sorte que le montant de CHF 2'000.- versé par le recourant à titre de sûretés lui sera restitué.![endif]&gt;![if&gt;</w:t>
      </w:r>
    </w:p>
    <w:p>
      <w:r>
        <w:rPr>
          <w:b/>
        </w:rPr>
        <w:t>E. 6</w:t>
      </w:r>
    </w:p>
    <w:p>
      <w:r>
        <w:t>Le recourant, partie plaignante qui obtient gain de cause, a droit à une indemnité pour ses frais de défense (art. 433 al. 1 let. a cum 436 al. 1 CPP).![endif]&gt;![if&gt; Il conclut à CHF 3'877.20, à ce titre, TVA comprise, correspondant à 8h d'activité à CHF 450.- de l'heure. Eu égard au travail accompli – le recours comportant 22 pages, page de garde comprise et la réplique 3 pages – et l'admission du recours, l'indemnité sollicitée sera allouée et mise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