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P/6894/2024 vom 30. Mai 2024</w:t>
      </w:r>
    </w:p>
    <w:p>
      <w:r>
        <w:t>GE Cour de justice, 2024-05-30, FR</w:t>
      </w:r>
    </w:p>
    <w:p>
      <w:r>
        <w:rPr>
          <w:b/>
        </w:rPr>
        <w:t xml:space="preserve">Quelle: </w:t>
      </w:r>
      <w:r>
        <w:t>https://mcp.opencaselaw.ch/entscheid/ge_gerichte_P_6894_2024</w:t>
      </w:r>
    </w:p>
    <w:p>
      <w:r>
        <w:t>FR: GE_GERICHTE P/6894/2024 du 30 mai 2024</w:t>
      </w:r>
    </w:p>
    <w:p>
      <w:r>
        <w:t>IT: GE_GERICHTE P/6894/2024 del 30 maggio 2024</w:t>
      </w:r>
    </w:p>
    <w:p>
      <w:pPr>
        <w:pStyle w:val="Heading2"/>
      </w:pPr>
      <w:r>
        <w:t>Regeste</w:t>
      </w:r>
    </w:p>
    <w:p>
      <w:r>
        <w:t>PORNOGRAPHIE;DÉTENTION PROVISOIRE;RISQUE DE RÉCIDIVE;RISQUE DE COLLUSION | CP.197;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s'attarder sur ce point, sauf à renvoyer aux développements du premier juge à ce sujet (art. 82 al. 4 CPP ; ACPR/18/2022 du 13 janvier 2022 consid. 2 et les références), qui expose les indices graves et concordants pesant sur le prévenu.</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(ATF 137 IV 122 consid. 4.2; 132 I 21 consid. 3.2; arrêt du Tribunal fédéral 1B_577/2020 du 2 décembre 2020 consid. 3.1).</w:t>
      </w:r>
    </w:p>
    <w:p>
      <w:r>
        <w:rPr>
          <w:b/>
        </w:rPr>
        <w:t>E. 3.2</w:t>
      </w:r>
    </w:p>
    <w:p>
      <w:r>
        <w:t>En l'espèce, le risque que le recourant détruise des données informatiques, et fasse ainsi disparaître des éléments de preuve, paraît peu concret. Le prévenu a téléchargé des fichiers interdits et classé des photographies sur ses supports informatiques, de sorte que les images à analyser se trouvent dans les appareils saisis, dont le recourant a fourni les codes d'accès. Certes, il ne peut être exclu que des données figurent également dans un cloud , mais cette éventualité n'apparaît ici pas assez caractérisée pour concrétiser un risque de collusion nécessitant le maintien en détention provisoire. En revanche, le risque de collusion avec l'ancienne compagne est concret et sérieux. Il est nécessaire qu'elle puisse être entendue, puis confrontée au prévenu, sans que ce dernier n'intercède préalablement auprès d'elle, notamment sur ce qu'elle sait – depuis 2012 – de son inclination pour la pornographie et, surtout, ses préférences pour la pédopornographie. Au vu de l'intensité du risque de collusion, aucune mesure de substitution ne paraît apte à le pallier, en particulier pas l'interdiction de contact, laquelle ne reposerait que sur la volonté du prévenu. Ce risque prendra toutefois fin, sauf fait nouveau, avec la prochaine confrontation du recourant à son ancienne compagne. C'est pourquoi il convient d'examiner aussi l'autre risque retenu par le TMC.</w:t>
      </w:r>
    </w:p>
    <w:p>
      <w:r>
        <w:rPr>
          <w:b/>
        </w:rPr>
        <w:t>E. 4</w:t>
      </w:r>
    </w:p>
    <w:p>
      <w:r>
        <w:t>3. En l'espèce, le recourant a déjà été condamné pour obtention d'images pédopornographiques. Or, la sécurité d'autrui est sérieusement compromise par l'infraction visée à l'art. 197 CP, disposition qui protège l'intégrité sexuelle, étant rappelé que les images et vidéos incriminées sont obtenues au moyen de contraintes sexuelles et viols exercés sur des enfants. Dans la mesure où le prévenu admet avoir une attirance pour les images pornographiques impliquant des adolescents et n'est pas en mesure d'expliquer pour quelle raison il ne peut s'empêcher de les visionner, sauf à dire que ça le " détend ", il existe un risque concret qu'il réitère ses agissements. Les conditions sont donc remplies pour retenir un risque de récidive de mêmes actes. Le recourant propose, comme mesure de substitution, l'interdiction de détenir ou utiliser du matériel informatique. Bien que cette mesure reposerait en grande partie sur sa volonté, puisqu'il pourrait utiliser des supports informatiques ailleurs que chez lui, le principe de la proportionnalité commande qu'elle soit ordonnée en lieu et place de la détention provisoire. En effet, la menace d'une incarcération, qui ne pesait pas sur le prévenu jusqu'ici, permet, en l'état, de retenir qu'il serait en mesure de s'abstenir d'agir. Par ailleurs, une obligation de soin, sous la surveillance du SPI, auprès d'un psychothérapeute spécialisé dans les addictions sexuelles, paraît être une mesure appropriée. Reste toutefois la crainte, retenue par le TMC, que le recourant compromette la sécurité d'enfants, dans le cadre de son activité de samaritain, voire celle de sa propre fille. Le recourant relève avec raison qu'il n'est pas poursuivi pour des actes d'ordre sexuel sur des enfants. Toutefois, au vu du fort soupçon de dépendance aux images de pédopornographie et son attirance pour les scènes impliquant des adolescents, le recourant représente un risque qu'on ne saurait sous-estimer à ce stade précoce de l'enquête, au vu de l'importance du bien juridiquement protégé. S'il affirme ne pas être attiré par les " enfants " – dont sa fille ferait selon lui encore partie –, on ne peut en l'état se fonder sur ses déclarations, compte tenu de la contradiction de ses propos sur ses attirances et de l'absence d'analyse complète, par la police, des images téléchargées. Des mesures de substitution peuvent être envisagées à cet égard, pour pallier tout risque d'atteinte (cf. ACPR/36/2024 du 22 janvier 2024). Le recourant propose une interdiction d'exercer l'activité de samaritain, ce qui paraît en l'état suffisant. Interdire au recourant d'être seul avec sa fille et instaurer un droit de visite exclusivement dans un point de rencontre officiel pourrait également suffire.</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(cf. arrêt du Tribunal fédéral 7B_155/2024 , précité, consid. 3.1 s.)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136 consid. 2.2 ;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de se soumettre à un traitement médical ou à des contrôles (al. 2 let. f). La liste des mesures de substitution énoncée à l'art. 237 CPP n'est pas exhaustive (arrêt du Tribunal fédéral 1B_654/2011 du 7 décembre 2011 consid. 4.2).</w:t>
      </w:r>
    </w:p>
    <w:p>
      <w:r>
        <w:rPr>
          <w:b/>
        </w:rPr>
        <w:t>E. 4.4</w:t>
      </w:r>
    </w:p>
    <w:p>
      <w:r>
        <w:t>En conclusion, ce n'est que lorsque le risque de collusion aura été écarté, et, sauf fait nouveau, après que les mesures susmentionnées auront été mises en place – y compris un rendez-vous auprès du psychothérapeute –, que la possibilité d'une mise en liberté pourra entrer en ligne de compte.</w:t>
      </w:r>
    </w:p>
    <w:p>
      <w:r>
        <w:rPr>
          <w:b/>
        </w:rPr>
        <w:t>E. 5</w:t>
      </w:r>
    </w:p>
    <w:p>
      <w:r>
        <w:t>Au vu de la peine concrètement encourue – si les soupçons devaient se concrétiser –, et compte tenu de la gravité des infractions retenues contre le recourant, la détention provisoire ordonnée, pour une durée de trois mois, ne viole pas le principe de la proportionnalité.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