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P/6882/2023 vom 8. Januar 2025</w:t>
      </w:r>
    </w:p>
    <w:p>
      <w:r>
        <w:t>GE Cour de justice, 2025-01-08, FR</w:t>
      </w:r>
    </w:p>
    <w:p>
      <w:r>
        <w:rPr>
          <w:b/>
        </w:rPr>
        <w:t xml:space="preserve">Quelle: </w:t>
      </w:r>
      <w:r>
        <w:t>https://mcp.opencaselaw.ch/entscheid/ge_gerichte_P_6882_2023</w:t>
      </w:r>
    </w:p>
    <w:p>
      <w:r>
        <w:t>FR: GE_GERICHTE P/6882/2023 du 8 janvier 2025</w:t>
      </w:r>
    </w:p>
    <w:p>
      <w:r>
        <w:t>IT: GE_GERICHTE P/6882/2023 del 8 gennaio 2025</w:t>
      </w:r>
    </w:p>
    <w:p>
      <w:pPr>
        <w:pStyle w:val="Heading2"/>
      </w:pPr>
      <w:r>
        <w:t>Regeste</w:t>
      </w:r>
    </w:p>
    <w:p>
      <w:r>
        <w:t>DÉFAUT(CONTUMACE);FIXATION DE LA PEINE;NE BIS IN IDEM;RÉVOCATION DU SURSIS | CPP.407; CPP.329; CP.46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ème éd., Bâle 2019, n. 4 ad art. 405). À leur demande, le prévenu et la partie plaignante qui ont déclaré l'appel ou l'appel joint peuvent être dispensés de comparution lorsque le cas est simple et que, par conséquence, leur présence n'est pas indispensable (art. 405 al. 2, 2 e phr. CPP). Le législateur a renoncé à définir la notion de cas simples, laissant ainsi une marge de manœuvre importante à la direction de la procédure.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(Y. JEANNERET / A. KUHN / C. PERRIER DEPEURSINGE (éds), op. cit., n. 10 ad art. 405).</w:t>
      </w:r>
    </w:p>
    <w:p>
      <w:r>
        <w:rPr>
          <w:b/>
        </w:rPr>
        <w:t>E. 2.2</w:t>
      </w:r>
    </w:p>
    <w:p>
      <w:r>
        <w:t>À teneur de l'art. 407 CPP, l'appel ou l'appel joint est réputé retiré si la partie qui l'a déclaré fait défaut aux débats d'appel sans excuse valable et ne se fait pas représenter (al. 1 let. a). 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w:t>
      </w:r>
    </w:p>
    <w:p>
      <w:r>
        <w:rPr>
          <w:b/>
        </w:rPr>
        <w:t>E. 2.3</w:t>
      </w:r>
    </w:p>
    <w:p>
      <w:r>
        <w:t>En l'espèce, l'appelant ne s'est pas présenté aux débats d'appel. Par le biais de son conseil à qui il a adressé un mail le 15 novembre 2024, il a indiqué être à l'étranger et ne pas être en mesure de se présenter à l'audience, son employeur refusant de le libérer. Le report d'audience sollicité par son conseil est refusé ; l'appelant a été régulièrement convoqué, a été avisé par l'autorité de la tenue des débats et mis au bénéfice d'un sauf-conduit ; il était informé des risques qu'il encourrait à ne pas se présenter et son empêchement ne repose que sur ses dires, trois jours seulement avant la tenue de l'audience. L'appelant doit donc être considéré comme défaillant. En exigeant la comparution personnelle de l'appelant, la Cour lui a signifié l'importance attendue de son interrogatoire. Le comportement de l'appelant qui ne se présente pas, sans motif valable, aux débats d'appel, alors que sa présence est attendue et qu'aucune dispense ne lui a été accordée, étant précisé qu'il a lui-même exigé une procédure orale, ne saurait être toléré. Néanmoins l'affaire ne présente pas de complexité particulière et aurait pu être traitée par le biais d'une procédure écrite ; le défenseur de l'appelant doit donc être admis à le représenter.</w:t>
      </w:r>
    </w:p>
    <w:p>
      <w:r>
        <w:rPr>
          <w:b/>
        </w:rPr>
        <w:t>E. 3</w:t>
      </w:r>
    </w:p>
    <w:p>
      <w:r>
        <w:t>3.1.1. Le principe ne bis in idem est ancré dans la Constitution fédérale (Cst. ; art. 8 al. 1) ainsi qu'à l'art. 4 al. 1 du Protocole n° 7 à la Convention de sauvegarde des droits de l'homme et des libertés fondamentales (CEDH) et à l'art. 14 al. 7 du Pacte international relatif aux droits civils et politiques. Il figure également, depuis le 1 er janvier 2011, à l'art. 11 al. 1 CPP. Ce principe,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 du Tribunal fédéral 6B_496/2012 du 18 avril 2013 consid. 7.1). 3.1.2. Les dispositions de la procédure de première instance s’appliquant par analogie à la procédure de recours (Rechtsmittel, cf. art. 379 CPP), lorsque l’instance de recours constate qu’il existe un empêchement de procéder, la procédure est classée conformément à l’art. 329 al. 4 CPP appliqué par analogie (arrêt du Tribunal fédéral 6B_1045/2014 du 19 mai 2015 consid. 4.2 [non publié in ATF 141 IV 205 ], ATF 139 IV 161 consid. 2.7. p. 168 = JdT 2014 IV 66).</w:t>
      </w:r>
    </w:p>
    <w:p>
      <w:r>
        <w:rPr>
          <w:b/>
        </w:rPr>
        <w:t>E. 3.2</w:t>
      </w:r>
    </w:p>
    <w:p>
      <w:r>
        <w:t>L'acte d'accusation du 28 novembre 2023 retient des faits qualifiés d'infractions à la LStup commis entre le 18 octobre 2022 et le 28 mars 2023. Pour autant, l'appelant a déjà été condamné par ordonnance pénale du 19 octobre 2022 pour infraction à l'art. 19 al. 1 let. c LStup pour des faits commis le 18 octobre 2022. Aussi, seule peut lui être reprochée en l'espèce la période allant du 19 octobre 2022 au 28 mars 2023. La période pénale retenue par le premier juge, en violation du principe ne bis in idem, sera réduite en conséquence et la procédure classée pour le surplus. Le jugement sera rectifié d’office, en faveur de l'appelant (art. 404 al. 2 CPP). Pour le surplus, sa culpabilité est à juste titre non contestée.</w:t>
      </w:r>
    </w:p>
    <w:p>
      <w:r>
        <w:rPr>
          <w:b/>
        </w:rPr>
        <w:t>E. 4</w:t>
      </w:r>
    </w:p>
    <w:p>
      <w:r>
        <w:t>4.1. Les infractions aux articles 19 al. 1 let. c et d LStup et 119 al. 1 LEI sont punies d’une peine privative de liberté de trois ans au plus ou d’une peine pécuniaire. L'infraction à l'art. 115 al. 1 let. a LEI est sanctionnée par une peine privative de liberté d'un an au plus ou une peine pécuniaire. La contravention à l'art. 19a ch. 1 LStup est passible d'une amende. 4.1.1.1.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4.1.1.2. En matière de trafic de stupéfiants,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ATF 121 IV 193 consid. 2b/aa ; arrêt du Tribunal fédéral 6B_1192/2018 du 23 janvier 2019 consid. 1.1). Le type de drogue et sa pureté doivent également être pris en considération. Si l'auteur sait que la drogue est particulièrement pure, sa culpabilité sera plus grande ; en revanche, sa culpabilité sera moindre s'il sait que la drogue est diluée plus que normalement (ATF 122 IV 299 consid. 2c ; ATF 121 IV 193 consid. 2b/aa). 4.1.2. En vertu de l'art. 41 CP, le juge peut prononcer une peine privative de liberté en lieu et place d'une peine pécuniaire, notamment si une peine privative de liberté paraît justifiée pour détourner l'auteur d'autres crimes ou délits (let. a).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4.1.3. Aux termes de l'art. 42 al. 1 CP, le juge suspend en règle générale l'exécution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4.1.4.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4.1.5.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4.1.6. 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 Un jour de peine privative de liberté de substitution (art. 106 al. 2 CP) correspond schématiquement à CHF 100.- d'amende (R. ROTH / L. MOREILLON (éds), Code pénal I : art. 1-100 CP, Bâle 2009, n. 19 art. 106).</w:t>
      </w:r>
    </w:p>
    <w:p>
      <w:r>
        <w:rPr>
          <w:b/>
        </w:rPr>
        <w:t>E. 4.2</w:t>
      </w:r>
    </w:p>
    <w:p>
      <w:r>
        <w:t>En l'espèce, la faute du prévenu n'est pas négligeable. Il a détenu une quantité importante de crack (environ 38 grammes au total), drogue dure qu'il a vendue à plusieurs reprises, ne pouvant ignorer qu'elle pouvait mettre en danger la santé de nombreuses personnes, à savoir théoriquement 190 individus sachant qu'une dose de crack correspond à environ 0.2 gramme. Il a persisté à revenir en Suisse malgré une interdiction d'entrée et plusieurs arrestations. Il a ainsi fait preuve d'une volonté délictuelle soutenue en commettant différentes infractions sur une période pénale relativement brève. Ses mobiles étaient futiles et égoïstes, relevant de sa convenance personnelle. Sa situation personnelle n'explique pas et ne justifie pas ses agissements. Il y a concours d'infractions, pour celles pouvant être sanctionnées par une peine privative de liberté, facteur aggravant de la peine. Il a un antécédent spécifique, s'agissant de la LStup. Sa collaboration ne saurait être qualifiée de bonne ; s'il n'a pas contesté l'intégralité des faits, il a tenté de les minimiser en expliquant notamment à la police que le crack était destiné à sa propre consommation, avant d'admettre la vente de stupéfiants devant le MP, ou en expliquant avoir pris la fuite à l'arrivée de la police en civil, pensant se faire agresser. Face à son désintéressement, l'appelant ne s'étant présenté ni en audience de jugement ni en audience d'appel, sa prise de conscience apparait inexistante. L'absence d'ouverture de nouvelle procédure à son encontre ne permet pas de retenir le contraire tel qu'il le plaide, dans la mesure où il ne se trouve actuellement plus en Suisse. Au vu de ce qui précède, c'est à juste titre que le premier juge a considéré que seule une peine privative de liberté semblait en mesure de dissuader le prévenu de récidiver s'agissant de la LStup et de la LEI. L'infraction à l'art. 19 al. 1 LStup, la plus grave au vu du bien juridiquement protégé et commise à réitérées reprises, sera punie d'une peine de base de six mois, aggravée de quatre mois pour tenir compte des deux infractions à l'art. 119 al. 1 LEI (peine théorique : trois mois à chaque fois), et de deux mois pour sanctionner les trois infractions à l'art. 115 al. 1 let. a LEI (peine théorique d'un mois à chaque fois). C'est donc une peine privative de liberté d'une année qui devrait être prononcée. Les quatre jours de détention provisoire subis par l'appelant devraient en être déduits. Le premier juge a néanmoins retenu six jours (y compris un jour de détention subi dans une autre procédure au vu du prononcé d'une peine complémentaire qui n'a plus lieu d'être en raison du classement retenu). En vertu de l'interdiction de la reformatio in pejus (art. 391 al. 2 CPP), la peine prononcée par le premier juge ne peut toutefois pas être aggravée et sera donc confirmée, y compris la déduction de six jours de détention avant jugement. Pour sanctionner les infractions à l'art. 286 CP, d'égale gravité et encourant chacune une peine théorique de 30 unités, la peine pécuniaire de 50 jours-amende à CHF 10.- le jour prononcée par le premier juge est adéquate et tient suffisamment compte de la situation financière de l'appelant ; elle sera confirmée. L'appelant n'a produit aucun élément attestant d'une évolution favorable de sa situation, notamment en terme d'emploi ou d'intégration. Au vu des éléments ci-dessus, principalement de l'absence de prise de conscience, c'est un pronostic défavorable qui doit être posé, si bien que le sursis ne lui sera pas octroyé. L'amende fixée à CHF 300.- par le premier juge pour sanctionner la consommation de stupéfiants de l'appelant, à juste titre non contestée, sera confirmée. La peine privative de liberté de substitution sera en revanche arrêtée à trois jours, conformément aux principes jurisprudentiels rappelés ci-dessus, dont il n'y a pas lieu en l'espèce de s'écarter. La non révocation du sursis octroyé le 19 octobre 2022 est acquise à l'appelant. L'avertissement qui lui a été adressé et la prolongation du délai d'épreuve d'un an, non contestés, seront confirmés.</w:t>
      </w:r>
    </w:p>
    <w:p>
      <w:r>
        <w:rPr>
          <w:b/>
        </w:rPr>
        <w:t>E. 5</w:t>
      </w:r>
    </w:p>
    <w:p>
      <w:r>
        <w:t>5.1. À teneur de l'art. 69 al. 1 CP, sont susceptibles de confiscation les objets qui ont servi ou devaient servir à commettre une infraction ou qui sont le produit d’une infraction, s'ils compromettent la sécurité des personnes, la morale ou l’ordre public. Dans le cadre de cette mesure réelle, chaque objet utilisé lors d'une infraction ou qui représente le danger d'être à nouveau utilisé pour commettre une infraction, peut être confisqué (L. MOREILLON / A. MACALUSO / N. QUELOZ / N. DONGOIS (éds), Commentaire romand, Code pénal I, art. 1-110 CP, 2ème éd., Bâle 2021, n. 19 ad art. 69). Le Tribunal fédéral a, à plusieurs reprises, validé la confiscation de téléphones portables utilisés pour la commission d'infractions, quand bien même ils étaient susceptibles de contenir des données personnelles licites. En effet, d'une part, l'on ne pouvait exclure que de tels appareils, qui avaient été utilisés pour la commission d'infractions, contiennent des données permettant à leur propriétaire de reprendre contact avec d'éventuels comparses, ce qui était susceptible de compromettre à nouveau la sécurité des personnes, la morale et l'ordre public (arrêt du Tribunal fédéral 6B_35/2017 du 26 février 2018 consid. 9.4) ; d'autre part, la seule valeur affective ou utilitaire de certaines informations contenues dans la mémoire des appareils, dont le tri exigerait des investissements sans commune mesure avec la valeur objective des objets séquestrés, ne peut, sous l'angle de la proportionnalité, être opposée à l'intérêt public à la destruction des téléphones (arrêt du Tribunal fédéral 6B_354/2021 du 1 er novembre 2021 consid. 6.2).</w:t>
      </w:r>
    </w:p>
    <w:p>
      <w:r>
        <w:rPr>
          <w:b/>
        </w:rPr>
        <w:t>E. 5.2</w:t>
      </w:r>
    </w:p>
    <w:p>
      <w:r>
        <w:t>En l'espèce, l'appelant a indiqué devant la police en mars 2023 avoir convenu d'un rendez-vous avec un acheteur qui l'avait appelé avant d'indiquer au MP avoir rencontré ce dernier par hasard, puis ne pas avoir utilisé ses téléphones portables dans le cadre de son trafic de stupéfiants. Les dénégations secondaires de l'appelant n'apparaissent pas crédibles, si bien que la première condition posée par l'art. 69 CP est réalisée. Les appareils pourraient par ailleurs, à l'avenir, servir à l'appelant pour contacter ses anciens clients et, par ce biais, compromettre à nouveau la sécurité des personnes. La deuxième condition posée par l'art. 69 CP est donc remplie. La destruction des appareils respecte enfin, selon la jurisprudence, le principe de la proportionnalité. Le jugement sera donc confirmé sur ce point.</w:t>
      </w:r>
    </w:p>
    <w:p>
      <w:r>
        <w:rPr>
          <w:b/>
        </w:rPr>
        <w:t>E. 6</w:t>
      </w:r>
    </w:p>
    <w:p>
      <w:r>
        <w:t>6.1. L'appelant, qui obtient très partiellement gain de cause, pour un motif de surcroît non plaidé, supportera 80% des frais de la procédure (art. 428 CPP), incluant un émolument de décision de CHF 1'500.-, le solde étant laissé à la charge de l'État.</w:t>
      </w:r>
    </w:p>
    <w:p>
      <w:r>
        <w:rPr>
          <w:b/>
        </w:rPr>
        <w:t>E. 6.2</w:t>
      </w:r>
    </w:p>
    <w:p>
      <w:r>
        <w:t>Vu le classement prononcé, les frais de la procédure de première instance, y compris un émolument de jugement complémentaire de CHF 600.-, seront mis à la charge de l'appelant à hauteur de 95%, le solde étant laissé à la charge de l'État.</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rPr>
          <w:b/>
        </w:rPr>
        <w:t>E. 7.2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la rédaction de l'annonce d'appel et de la déclaration d'appel font partie du forfait tout comme la rédaction des courriers à la CPAR et la prise de connaissance de décision comme le jugement de première instance. Ainsi, 1h05 d'activité de cheffe d'étude seront déduit. Il convient d'ajouter 20 minutes pour l'audience d'appel au tarif d'un collaborateur. En conclusion, la rémunération de M e B______ sera arrêtée à CHF 654.- correspondant à 50 minutes d'activité de cheffe d'étude à CHF 200.-/heure (CHF 166.70), 1h50 d'activité de collaboratrice à CHF 150.-/heure (CHF 275.-) plus la majoration forfaitaire de 20% (CHF 88.30), un forfait déplacement de CHF 75.- et l'équivalent de la TVA au taux de 8.1% en CHF 49.-.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