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P/6847/2017 vom 7. März 2022</w:t>
      </w:r>
    </w:p>
    <w:p>
      <w:r>
        <w:t>GE Cour de justice, 2022-03-07, FR</w:t>
      </w:r>
    </w:p>
    <w:p>
      <w:r>
        <w:rPr>
          <w:b/>
        </w:rPr>
        <w:t xml:space="preserve">Quelle: </w:t>
      </w:r>
      <w:r>
        <w:t>https://mcp.opencaselaw.ch/entscheid/ge_gerichte_P_6847_2017</w:t>
      </w:r>
    </w:p>
    <w:p>
      <w:r>
        <w:t>FR: GE_GERICHTE P/6847/2017 du 7 mars 2022</w:t>
      </w:r>
    </w:p>
    <w:p>
      <w:r>
        <w:t>IT: GE_GERICHTE P/6847/2017 del 7 marzo 2022</w:t>
      </w:r>
    </w:p>
    <w:p>
      <w:pPr>
        <w:pStyle w:val="Heading2"/>
      </w:pPr>
      <w:r>
        <w:t>Regeste</w:t>
      </w:r>
    </w:p>
    <w:p>
      <w:r>
        <w:t>CPP.382; CPP.319; CP.251; CP.146; CP.139; CP.138</w:t>
      </w:r>
    </w:p>
    <w:p>
      <w:pPr>
        <w:pStyle w:val="Heading2"/>
      </w:pPr>
      <w:r>
        <w:t>Erwägungen</w:t>
      </w:r>
    </w:p>
    <w:p>
      <w:r>
        <w:rPr>
          <w:b/>
        </w:rPr>
        <w:t>E. 1.1</w:t>
      </w:r>
    </w:p>
    <w:p>
      <w:r>
        <w:t>Le recours a été déposé selon la forme et dans le délai prescrits (art. 385 al. 1 et 396 al. 1 CPP). Il concerne en outre une ordonnance sujette à recours auprès de la Chambre de céans (art. 393 al. 1 let. a CPP).![endif]&gt;![if&gt;</w:t>
      </w:r>
    </w:p>
    <w:p>
      <w:r>
        <w:rPr>
          <w:b/>
        </w:rPr>
        <w:t>E. 1.2</w:t>
      </w:r>
    </w:p>
    <w:p>
      <w:r>
        <w:t>Reste toutefois à examiner si la recourante a qualité pour agir, c’est-à-dire si un intérêt juridiquement protégé à recourir peut lui être reconnu (art. 382 al. 1 CPP). 1.3.1.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4.1).![endif]&gt;![if&gt; 1.3.2.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158).![endif]&gt;![if&gt; 1.3.3. Les différentes dispositions du Titre 2 de la partie spéciale du code pénal (comprenant notamment les art. 137 à 164 CP) tendent à protéger le patrimoine, soit la somme des valeurs économiques juridiquement protégées par le droit civil (M. DUPUIS / L. MOREILLON / C. PIGUET / S. BERGER / M. MAZOU / V. RODIGARI (éds), Code pénal - Petit commentaire , Bâle 2017, n. 1 ad remarques préliminaires aux art. 137 ss).![endif]&gt;![if&gt; 1.3.4. Quant à l'infraction de faux dans les titres (art. 251 CP), elle protège en premier lieu un bien juridique collectif, à savoir la confiance que l'on peut accorder, dans les relations juridiques, à un titre en tant que moyen de preuve (ATF 142 IV 119 consid. 2.2 p. 121ss; 137 IV 167 consid. 2.3.1) et dans la vie des affaires, aux pièces de légitimation, certificats et attestations (ATF 95 IV 68 , JdT 1969 IV 78). Le faux dans les titres peut toutefois également porter atteinte à des intérêts individuels, en particulier lorsqu'il vise précisément à nuire à un particulier (arrêt du Tribunal fédéral 6B_655/2019 consid. 4.3.3 et les références citées). Tel est le cas lorsque le faux est l'un des éléments d'une infraction contre le patrimoine, la personne dont le patrimoine est menacé ou atteint ayant alors la qualité de lésé (ATF 140 IV 155 consid. 3.3.3; Y. JEANNERET / A. KUHN / C. PERRIER DEPEURSINGE (éds), Commentaire romand : code de procédure pénale suisse , 2 ème éd., Bâle 2019, n. 11 ad art. 115).![endif]&gt;![if&gt;</w:t>
      </w:r>
    </w:p>
    <w:p>
      <w:r>
        <w:rPr>
          <w:b/>
        </w:rPr>
        <w:t>E. 1.4</w:t>
      </w:r>
    </w:p>
    <w:p>
      <w:r>
        <w:t>En l'espèce, on peine à discerner, dans l'argumentation de la recourante, en quoi les faits dénoncés seraient susceptibles de la toucher personnellement et directement. En effet, il résulte du dossier qu'elle reproche à B______ de s'être rendu coupable d'abus de confiance (art. 138 CP), de vol (art. 139 CP) et d'escroquerie (art. 146 CP), pour avoir utilisé à des fins personnelles des fonds se trouvant sur les comptes bancaires des sociétés C______ SA et E______ SA, ou d'y avoir effectué des prélèvements et virements indus. ![endif]&gt;![if&gt; Force est ainsi de constater que les actes dénoncés – à supposer qu'ils fussent établis – ne touchent que le patrimoine des sociétés précitées, lesquelles sont dotées d'une personnalité juridique distincte de celle de la recourante, qui est leur actionnaire. En cette qualité, la recourante ne subit qu'une atteinte indirecte, insuffisante pour la faire apparaître comme lésée, étant relevé qu'elle ne soutient pas que les infractions dénoncées auraient directement porté atteinte à son patrimoine personnel, s'étant au demeurant limitée à chiffrer son dommage à CHF 30'257.- sans donner plus de précisions. Le fait qu'elle aurait par ailleurs dû, en tant que coactionnaire et propriétaire de la société E______ SA, investir de nouveaux fonds dans celle-ci afin d'en éviter la faillite constitue également un dommage par ricochet, son propre patrimoine servant seulement de manière indirecte à limiter le dommage prétendument subi par ladite société. Quant à l'infraction de faux dans les titres (art. 251 CP), la recourante n'explique pas en quoi le procès-verbal et la feuille de présence de l'assemblée générale du 28 septembre 2017, lors de laquelle le mandat d'administrateur unique de F______ a été révoqué et l'intimé désigné pour la remplacer, aurait été établi ou utilisé pour lui nuire personnellement, notamment au motif qu'ils constitueraient l'un des éléments d'une infraction touchant son propre patrimoine. Dans la mesure où ces documents ne semblent pas lui avoir causé un préjudice direct – la recourante n'ayant fourni aucun développement au sujet d'un dommage qu'elle aurait personnellement subi –, la qualité de lésée doit également lui être niée sous cet angle. Au vu de l'ensemble de ce qui précède, la recourante n'a pas d'intérêt juridiquement protégé (art. 382 al. 1 CPP) à l'annulation de la décision querellée.</w:t>
      </w:r>
    </w:p>
    <w:p>
      <w:r>
        <w:rPr>
          <w:b/>
        </w:rPr>
        <w:t>E. 2</w:t>
      </w:r>
    </w:p>
    <w:p>
      <w:r>
        <w:t>Partant, son recours est irrecevable. Point n'est dès lors besoin de traiter le grief relatif à une prétendue violation du droit d'être entendue de la recourante, en lien avec ses réquisitions de preuves. ![endif]&gt;![if&gt;</w:t>
      </w:r>
    </w:p>
    <w:p>
      <w:r>
        <w:rPr>
          <w:b/>
        </w:rPr>
        <w:t>E. 3</w:t>
      </w:r>
    </w:p>
    <w:p>
      <w:r>
        <w:t>La recourante, qui succombe, supportera les frais envers l'État, qui seront fixés en totalité à CHF 1'000.- (art. 428 al. 1 CPP et 13 al. 1 du Règlement fixant le tarif des frais en matière pénale, RTFMP ; E 4 10.03).![endif]&gt;![if&gt;</w:t>
      </w:r>
    </w:p>
    <w:p>
      <w:r>
        <w:rPr>
          <w:b/>
        </w:rPr>
        <w:t>E. 4</w:t>
      </w:r>
    </w:p>
    <w:p>
      <w:r>
        <w:t>L'intimé, prévenu, qui obtient gain de cause, a droit à une juste indemnité pour ses dépens selon l'art. 429 al. 1 let. a CPP, applicable en instance de recours (art. 436 al. 1 CPP). Il a chiffré son indemnité à CHF 2'246,35, TVA comprise, correspondant à 4h30 d'activité de son avocat à un tarif horaire de CHF 450.-. ![endif]&gt;![if&gt; Eu égard à ses observations (quatre pages et demie, dont une de conclusions), une indemnité de CHF 969.30 lui sera allouée, correspondant à 2 heures d'activité d'avocat au tarif usuel de CHF 450.- de l'heure, TVA en sus.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