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P/6788/2011 vom 26. Juli 2011</w:t>
      </w:r>
    </w:p>
    <w:p>
      <w:r>
        <w:t>GE Cour de justice, 2011-07-26, FR</w:t>
      </w:r>
    </w:p>
    <w:p>
      <w:r>
        <w:rPr>
          <w:b/>
        </w:rPr>
        <w:t xml:space="preserve">Quelle: </w:t>
      </w:r>
      <w:r>
        <w:t>https://mcp.opencaselaw.ch/entscheid/ge_gerichte_P_6788_2011</w:t>
      </w:r>
    </w:p>
    <w:p>
      <w:r>
        <w:t>FR: GE_GERICHTE P/6788/2011 du 26 juillet 2011</w:t>
      </w:r>
    </w:p>
    <w:p>
      <w:r>
        <w:t>IT: GE_GERICHTE P/6788/2011 del 26 luglio 2011</w:t>
      </w:r>
    </w:p>
    <w:p>
      <w:pPr>
        <w:pStyle w:val="Heading2"/>
      </w:pPr>
      <w:r>
        <w:t>Regeste</w:t>
      </w:r>
    </w:p>
    <w:p>
      <w:r>
        <w:t>; VOL(DROIT PÉNAL) ; PROCÉDURE PÉNALE ; ACCUSATION ; DROIT D'ÊTRE ENTENDU ; ACTE D'ACCUSATION | CP.139; CPP.9.1; Cst. 29.2; CPP.325.1</w:t>
      </w:r>
    </w:p>
    <w:p>
      <w:pPr>
        <w:pStyle w:val="Heading2"/>
      </w:pPr>
      <w:r>
        <w:t>Erwägungen</w:t>
      </w:r>
    </w:p>
    <w:p>
      <w:r>
        <w:rPr>
          <w:b/>
        </w:rPr>
        <w:t>E. 1.1</w:t>
      </w:r>
    </w:p>
    <w:p>
      <w:r>
        <w:t>La partie qui attaque seulement certaines parties du jugement est tenue d'indiquer dans la déclaration d'appel, de manière définitive, sur quelles parties porte l'appel, à savoir (art. 399 al. 4 et 401 al. 1 du Code de procédure pénale, du 5 octobre 2007 [CPP ; RS 312.0])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L'appel principal est recevable pour avoir été interjeté et motivé selon la forme et dans les délais prescrits (art. 398 et 399 CPP) L’appel joint est également recevable s’agissant des conclusions prises dans la déclaration du 5 septembre 2011. En revanche, la conclusion nouvelle prise à l’audience d’appel tendant à la confiscation de la somme de CHF 160.- est tardive et partant irrecevable, étant relevé que le Ministère public n’a pas soutenu qu’une telle conclusion était implicitement comprise dans sa déclaration d’appel joint, admettant qu’il avait omis de la prendre. Il en va de même de la conclusion nouvelle prise à l’audience d’appel, relative au traitement ambulatoire, assortie d’une assistance de probation.</w:t>
      </w:r>
    </w:p>
    <w:p>
      <w:r>
        <w:rPr>
          <w:b/>
        </w:rPr>
        <w:t>E. 2.1</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Il appartient à la direction de la procédure d'examiner si l'acte d'accusation et le dossier sont établis régulièrement (art. 329 al. 1 let. a CPP), l'examen devant permettre de déterminer si l'acte d'accusation satisfait aux exigences posées par l'art. 325 CPP (A. KUHN / Y. JEANNERET (éds), Commentaire romand : Code de procédure pénale suisse , Bâle 2011, n. 3 ad art. 329). Le tribunal peut aussi renvoyer l'accusation au Ministère public pour qu'il la complète ou la corrige (art. 329 al. 2 deuxième phrase CPP).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w:t>
      </w:r>
    </w:p>
    <w:p>
      <w:r>
        <w:rPr>
          <w:b/>
        </w:rPr>
        <w:t>E. 2.2</w:t>
      </w:r>
    </w:p>
    <w:p>
      <w:r>
        <w:t>En ce qui concerne le reproche de recel, l’ordonnance pénale valant acte d’accusation reproduit le texte de l’art. 160 CP et résume les déclarations de l’intimé sur appel joint s’agissant de la provenance des espèces et des appareils censés avoir été obtenus par un tiers au moyen d’une infraction contre le patrimoine, mais elle ne décrit pas quels sont, concrètement, les faits attribués par l’accusation à l’intimé sur appel joint au titre des éléments constitutifs de l’infraction en cause. On ignore ainsi quand, comment, de quel auteur et de quelle infraction préalable l’intimé sur appel joint a acquis ou reçu ces avoirs. L’acte d’accusation ne satisfaisait ainsi pas les exigences de l’art. 325 CPP. Le premier juge aurait pu renvoyer l’acte d’accusation au Ministère public afin qu’il le corrige, au sens de l’art. 329 al. 2 CPP in fine . Il ne l’a pas fait et a prononcé un acquittement au bénéfice du doute. Outre le fait qu’il est douteux que le Ministère public aurait pu prendre en appel une conclusion tendant à ce que l’ordonnance valant acte d’accusation lui soit retournée pour lui permettre de corriger ses propres carences, il ne l’a en tout état pas fait, estimant pouvoir requérir sur cette base. Dans ces circonstances, la Chambre pénale d’appel et de révision ne peut que constater que les défauts dont est affecté l’acte d’accusation ne permettent pas d’examiner la question de la culpabilité éventuelle de l’intimé sur appel joint et rejeter partant ledit appel joint. Le jugement dont est appel sera donc confirmé s’agissant de l’acquittement du chef de recel.</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rPr>
          <w:b/>
        </w:rPr>
        <w:t>E. 3.2</w:t>
      </w:r>
    </w:p>
    <w:p>
      <w:r>
        <w:t>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ainsi qu'en raison d'une éventuelle tentative selon l'art. 22 al. 1 CP (arrêts du Tribunal fédéral 6B_741/2010 du 9 novembre 2010 consid. 3.1.2 et 6B_1092/2009 du 22 juin 2010 consid. 2.2.2).</w:t>
      </w:r>
    </w:p>
    <w:p>
      <w:r>
        <w:rPr>
          <w:b/>
        </w:rPr>
        <w:t>E. 3.3</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S'il révoque le sursis, le juge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 cf . art. 46 al. 1 CP). La fixation d'une peine d'ensemble, par application analogique de l'art. 49 CP, n'entre cependant pas en considération si la peine assortie du sursis révoqué et celle nouvellement prononcée sont du même genre (ATF 134 IV 241 consid. 4 p. 242 ss). En outre, la conversion d'une peine pécuniaire ou d'un travail d'intérêt général en une peine privative de liberté n'est envisageable qu'à titre d' ultima ratio du fait qu'une telle conversion implique une aggravation du genre de peine (M. NIGGLI / H. WIPRÄCHTIGER, Basler Kommentar Strafrecht I : art. 1-110 StGB , 2e éd., Bâle 2007, n. 30 ad. art. 46 CP; G. STRATENWERTH, Schweizerisches Strafrecht, AT II, Strafen und Massnahmen , 2e éd., Berne 2006, § 5 n. 96 p. 164; arrêt du Tribunal fédéral 6B_46/2011 du 27 septembre 2011 consid. 3.4 et les références citées).</w:t>
      </w:r>
    </w:p>
    <w:p>
      <w:r>
        <w:rPr>
          <w:b/>
        </w:rPr>
        <w:t>E. 3.4</w:t>
      </w:r>
    </w:p>
    <w:p>
      <w:r>
        <w:t>L’appelant s’est livré au vol d’un sac à main, n’impliquant certes pas de violence mais susceptible d’entraîner un préjudice important et moult désagréments pour la personne lésée. La faute apparaît plus lourde du fait des antécédents spécifiques de l’appelant, qui démontrent que celui-ci est ancré dans la petite délinquance et n’a aucun respect pour la notion de propriété d’autrui, ce qui est au demeurant caractéristique d’une personnalité antisociale. Ces circonstances justifieraient le prononcé d’une sanction lourde, afin de donner un signal clair. À décharge, il faut toutefois tenir compte de ce que sa responsabilité est légèrement à moyennement restreinte selon l’expertise mise en œuvre en appel et dont il n’y a aucune raison de s’écarter, ce dont les parties conviennent, n’ayant formulé aucune critique. Dès lors, il faut admettre que la faute de l’appelant est moyenne. Indépendamment de la problématique du développement mental incomplet et des troubles de la personnalité dont il a déjà été tenu compte au chapitre de la responsabilité restreinte, la situation personnelle de l’appelant est certes particulièrement difficile. Il reste toutefois que celui-ci s’entête à demeurer en Suisse alors que cela ne fait qu’ajouter à cette difficulté, pour des raisons culturelles déjà, ainsi qu’au regard de son statut et de son absence complète de formation et même de scolarisation qui rendent une intégration particulièrement illusoire. Il faut donc admettre que l’appelant se place lui-même dans la précarité, de sorte qu’il n’y a pas lieu à réduction de peine de ce fait. Le jugement entrepris consacre une peine inéquitable, dans la mesure où le genre des peines pécuniaires dont les précédents sursis ont été révoqués a été modifié en peine privative de liberté afin de permettre le prononcé d’une peine d’ensemble alors qu’il n’est pas établi que les conditions restrictives posées par la jurisprudence récente précitée sont réalisées. Ceci étant, l’appelant a retiré ses conclusions relatives à la révocation des précédents sursis – d’où découle le problème de la conversion du genre de peine – et d’une libération conditionnelle, de sorte que la Chambre de céans ne peut revoir ces questions d’office que si cela est en faveur du prévenu (art. 404 al. 2 CPP). Or, l’appelant considère à juste titre que son intérêt commande en définitive ces révocations, dès lors que vu la durée de la détention avant jugement, il a de facto déjà purgé la peine d’ensemble infligée par le premier juge. Au regard de l’ensemble de ces circonstances, une peine privative de liberté d’ensemble de 6 mois, conforme aux conclusions de l’appelant, est adéquate.</w:t>
      </w:r>
    </w:p>
    <w:p>
      <w:r>
        <w:rPr>
          <w:b/>
        </w:rPr>
        <w:t>E. 4</w:t>
      </w:r>
    </w:p>
    <w:p>
      <w:r>
        <w:t>4.1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 cf . art. 56 al. 1 let. a CP), mais sans qu'il soit pour autant nécessaire de prévoir une mesure thérapeutique institutionnelle ( cf .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 cf . art. 56 al. 2 CP).</w:t>
      </w:r>
    </w:p>
    <w:p>
      <w:r>
        <w:rPr>
          <w:b/>
        </w:rPr>
        <w:t>E. 4.2</w:t>
      </w:r>
    </w:p>
    <w:p>
      <w:r>
        <w:t>A teneur de l’expertise, un traitement ambulatoire est justifié. Par la bouche de son défenseur, l’appelant principal n’y conclut pas, mais ne s’y oppose pas non plus. Lors de son interrogatoire, il a déclaré vouloir continuer de suivre le traitement déjà mis en place, dont il ressentait le besoin. Une astreinte au traitement serait sans doute favorable à l’appelant car elle instituerait un cadre contraignant non seulement pour lui mais également pour les autorités compétentes, donnant une meilleure garantie que le suivi et sera maintenu aussi longtemps que nécessaire sous réserve d’un départ, souhaitable, de Suisse. La Chambre de céans estime donc pouvoir l’ordonner, sans dépasser les limites consacrées par l’art. 404 al. 2 CPP.</w:t>
      </w:r>
    </w:p>
    <w:p>
      <w:r>
        <w:rPr>
          <w:b/>
        </w:rPr>
        <w:t>E. 5</w:t>
      </w:r>
    </w:p>
    <w:p>
      <w:r>
        <w:t>L’appel principal étant admis et l’appel joint rejeté, les frais seront laissés à la charge de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