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P/6742/2021 vom 6. September 2021</w:t>
      </w:r>
    </w:p>
    <w:p>
      <w:r>
        <w:t>GE Cour de justice, 2021-09-06, FR</w:t>
      </w:r>
    </w:p>
    <w:p>
      <w:r>
        <w:rPr>
          <w:b/>
        </w:rPr>
        <w:t xml:space="preserve">Quelle: </w:t>
      </w:r>
      <w:r>
        <w:t>https://mcp.opencaselaw.ch/entscheid/ge_gerichte_P_6742_2021</w:t>
      </w:r>
    </w:p>
    <w:p>
      <w:r>
        <w:t>FR: GE_GERICHTE P/6742/2021 du 6 septembre 2021</w:t>
      </w:r>
    </w:p>
    <w:p>
      <w:r>
        <w:t>IT: GE_GERICHTE P/6742/2021 del 6 settembre 2021</w:t>
      </w:r>
    </w:p>
    <w:p>
      <w:pPr>
        <w:pStyle w:val="Heading2"/>
      </w:pPr>
      <w:r>
        <w:t>Regeste</w:t>
      </w:r>
    </w:p>
    <w:p>
      <w:r>
        <w:t>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s'y attarder, mais à renvoyer, en tant que de besoin, à la motivation exhaustive du premier juge (art. 82 al. 4 CPP; arrêt du Tribunal fédéral 1B_252/2020 du 11 juin 2020 consid. 2.1. ; ACPR/547/2020 du 18 août 2020 consid. 2 et les références; N. SCHMID / D. JOSITSCH, Schweizerische Strafprozessordnung : Praxiskommentar , 3e éd., Zurich 2018, n. 15 ad art. 82), qui expose les indices graves et concordants pesant sur le recourant.</w:t>
      </w:r>
    </w:p>
    <w:p>
      <w:r>
        <w:rPr>
          <w:b/>
        </w:rPr>
        <w:t>E. 3</w:t>
      </w:r>
    </w:p>
    <w:p>
      <w:r>
        <w:t>Le recourant conteste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particulier sa constitution psychique, son ancrage familial, sa situation financière et sa capacité à exercer une activité professionnelle (ATF 143 IV 9 consid. 2.3.2 ; 137 IV 84 consid. 3.2 ; arrêts du Tribunal fédéral 1B_413/2019 du 11 septembre 2019 consid. 3.1 et 1B_455/2016 du 9 décembre 2016 consid. 3.1. ; Y. JEANNERET / A. KUHN / C. PERRIER DEPEURSINGE (éds), Commentaire romand : Code de procédure pénale suisse, 2e éd., Bâle 2019, n°24 ad. 221).</w:t>
      </w:r>
    </w:p>
    <w:p>
      <w:r>
        <w:rPr>
          <w:b/>
        </w:rPr>
        <w:t>E. 3.2</w:t>
      </w:r>
    </w:p>
    <w:p>
      <w:r>
        <w:t>En l'espèce, quoi qu'en dise le recourant, le risque de réitération est concret et peut se fonder sur des faits précis, voire admis. Ces faits ne se résument pas à une atteinte au patrimoine, mais touchaient aussi de façon prépondérante à la liberté et à l'intégrité d'autrui. Le recourant paraît s'être prêté sans difficulté à une série plutôt rapprochée d’agressions qui avaient pour seule fin de lui procurer quelque argent. Il affirme dans son recours jouir d’une situation financière stable, mais il n’a pas caché au TMC avoir été mû par appât de l’argent. Sa condamnation en 2017 dénote, qu'il le veuille ou non, une propension à la violence pour se procurer des ressources. S’il s’agissait, comme il l’affirme, d’un arrachage de sac, les deux agressions sous enquête et celle qu’il pourrait avoir commise en France – pour laquelle il semble confondu par un vêtement retrouvé chez lui – montrent une gravité et une fréquence croissantes. Peu importe qu’il se défausse sur ses comparses à propos du sens des mots « coups » et « missions », puisqu’il confesse avoir pris la précaution de supprimer des données de son téléphone avant son interpellation et qu’il ne prétend pas (ni n’apparaît) avoir cherché à refuser les équipées délictueuses des autres prévenus. En outre, de sa situation personnelle, on comprend que, s'il était libéré, le recourant retrouverait, aussi désœuvré qu'auparavant, les mêmes conditions de vie que celles qui étaient les siennes avant la commission des actes reprochés et la détention. Il n'a pas justifié d'une démarche sérieuse et concrète en vue du « suivi » socio-professionnel auquel il conclut pourtant, à titre subsidiaire. Assisté d'un défenseur, il ne pourrait pas prétendre qu'il serait difficile de prendre des initiatives concrètes depuis la prison de B______, où il bénéficie aussi d'un service social. L'ensemble de ces éléments laisse persister une inquiétude concrète pour la sécurité publique, en cas de libération du recourant, et fonde donc un pronostic défavorable.</w:t>
      </w:r>
    </w:p>
    <w:p>
      <w:r>
        <w:rPr>
          <w:b/>
        </w:rPr>
        <w:t>E. 4</w:t>
      </w:r>
    </w:p>
    <w:p>
      <w:r>
        <w:t>Le recourant invoque le principe de la proportionnalité pour demander sa libération sous mesures de substitution.</w:t>
      </w:r>
    </w:p>
    <w:p>
      <w:r>
        <w:rPr>
          <w:b/>
        </w:rPr>
        <w:t>E. 4.1</w:t>
      </w:r>
    </w:p>
    <w:p>
      <w:r>
        <w:t>Les mesures de contrainte ne peuvent être prises que si les buts poursuivis ne peuvent pas être atteints par des mesures moins sévères et qu'elles apparaissent justifiées au regard de la gravité de l’infraction (art. 197 al. 1 let. b et c CPP). Le principe de la proportionnalité implique que la détention provisoire soit en adéquation avec la gravité du délit et la sanction prévisible (ATF 142 IV 389 consid. 4.1 p. 395).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tout état de cause, la détention avant jugement ne doit pas durer plus longtemps que la peine privative de liberté prévisible (art. 212 al. 3 CPP).</w:t>
      </w:r>
    </w:p>
    <w:p>
      <w:r>
        <w:rPr>
          <w:b/>
        </w:rPr>
        <w:t>E. 4.2</w:t>
      </w:r>
    </w:p>
    <w:p>
      <w:r>
        <w:t>En l’espèce, comme on l’a vu, le simple fait de retrouver le foyer familial n’offre aucun palliatif satisfaisant au danger de récidive, pas plus que la volonté générale et abstraite de se préparer un avenir. Pour le surplus, la durée de la détention du recourant à ce jour n'atteint pas la durée de la peine à laquelle il s'exposerait concrètement s’il était reconnu coupable de toutes les préventions retenues contre lui – le brigandage est passible d’une peine privative de liberté de six mois au moins (art. 140 ch. 1 CP) –.</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premier à être exercé, n'étant pas manifestement abusif, l'assistance juridique sera ainsi accordée pour le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