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P/6724/2024 vom 23. Januar 2025</w:t>
      </w:r>
    </w:p>
    <w:p>
      <w:r>
        <w:t>GE Cour de justice, 2025-01-23, FR</w:t>
      </w:r>
    </w:p>
    <w:p>
      <w:r>
        <w:rPr>
          <w:b/>
        </w:rPr>
        <w:t xml:space="preserve">Quelle: </w:t>
      </w:r>
      <w:r>
        <w:t>https://mcp.opencaselaw.ch/entscheid/ge_gerichte_P_6724_2024</w:t>
      </w:r>
    </w:p>
    <w:p>
      <w:r>
        <w:t>FR: GE_GERICHTE P/6724/2024 du 23 janvier 2025</w:t>
      </w:r>
    </w:p>
    <w:p>
      <w:r>
        <w:t>IT: GE_GERICHTE P/6724/2024 del 23 gennaio 2025</w:t>
      </w:r>
    </w:p>
    <w:p>
      <w:pPr>
        <w:pStyle w:val="Heading2"/>
      </w:pPr>
      <w:r>
        <w:t>Regeste</w:t>
      </w:r>
    </w:p>
    <w:p>
      <w:r>
        <w:t>ORDONNANCE DE NON-ENTRÉE EN MATIÈRE;ABUS DE CONFIANCE;GESTION DÉLOYALE;FAUX DANS LES CERTIFICATS;USURPATION D'IDENTITÉ;EXÉCUTEUR TESTAMENTAIRE | CPP.310.al1.leta; CP.138.ch1; CP.158.ch1; CP.179decies; CP.252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 Toutefois, l'objet du litige est circonscrit par les faits dénoncés dans la plainte pénale du 12 mars 2024, respectivement l'ordonnance de non-entrée en matière querellée, lesquelles ne traitent nullement d'un virement, le 3 janvier 2024, de CHF 250'000.- à la prévenue, au débit du compte de feu le père de cette dernière et de la partie plaignante. Il s'ensuit que cet état de fait n'a pas fait l'objet d'une décision préalable du Ministère public. Cet élément est donc exorbitant à la saisine de la Chambre de céans (art. 393 al. 1 let. a CPP).</w:t>
      </w:r>
    </w:p>
    <w:p>
      <w:r>
        <w:rPr>
          <w:b/>
        </w:rPr>
        <w:t>E. 2</w:t>
      </w:r>
    </w:p>
    <w:p>
      <w:r>
        <w:t>La Chambre pénale de recours peut décider d'emblée de traiter sans échange d'écritures ni débats les recours manifestement irrecevables ou mal fondés (art. 390 al. 2 et</w:t>
      </w:r>
    </w:p>
    <w:p>
      <w:r>
        <w:rPr>
          <w:b/>
        </w:rPr>
        <w:t>E. 5</w:t>
      </w:r>
    </w:p>
    <w:p>
      <w:r>
        <w:t>La recourante, qui succombe, supportera les frais envers l'État, qui seront fixés en totalité à CHF 1'500.- (art. 428 al. 1 CPP et 13 al. 1 du Règlement fixant le tarif des frais en matière pénale, RTFMP ; E 4 10.03).</w:t>
      </w:r>
    </w:p>
    <w:p>
      <w:r>
        <w:rPr>
          <w:b/>
        </w:rPr>
        <w:t>E. 6</w:t>
      </w:r>
    </w:p>
    <w:p>
      <w:r>
        <w:t>La recourante sollicite des dépens à hauteur de CHF 2'000.-.</w:t>
      </w:r>
    </w:p>
    <w:p>
      <w:r>
        <w:rPr>
          <w:b/>
        </w:rPr>
        <w:t>E. 6.1</w:t>
      </w:r>
    </w:p>
    <w:p>
      <w:r>
        <w:t>En vertu de l'art. 436 al. 1 CPP, les prétentions en indemnité dans les procédures de recours sont régies par les art. 429 à 434 CPP.</w:t>
      </w:r>
    </w:p>
    <w:p>
      <w:r>
        <w:rPr>
          <w:b/>
        </w:rPr>
        <w:t>E. 6.2</w:t>
      </w:r>
    </w:p>
    <w:p>
      <w:r>
        <w:t>En l'espèce, la recourante, partie plaignante, n'obtenant pas gain de cause, aucune indemnité ne saurait lui être allouée pour la procédure de recours (art. 433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