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P/6722/2024 vom 19. August 2025</w:t>
      </w:r>
    </w:p>
    <w:p>
      <w:r>
        <w:t>GE Cour de justice, 2025-08-19, FR</w:t>
      </w:r>
    </w:p>
    <w:p>
      <w:r>
        <w:rPr>
          <w:b/>
        </w:rPr>
        <w:t xml:space="preserve">Quelle: </w:t>
      </w:r>
      <w:r>
        <w:t>https://mcp.opencaselaw.ch/entscheid/ge_gerichte_P_6722_2024</w:t>
      </w:r>
    </w:p>
    <w:p>
      <w:r>
        <w:t>FR: GE_GERICHTE P/6722/2024 du 19 août 2025</w:t>
      </w:r>
    </w:p>
    <w:p>
      <w:r>
        <w:t>IT: GE_GERICHTE P/6722/2024 del 19 agosto 2025</w:t>
      </w:r>
    </w:p>
    <w:p>
      <w:pPr>
        <w:pStyle w:val="Heading2"/>
      </w:pPr>
      <w:r>
        <w:t>Regeste</w:t>
      </w:r>
    </w:p>
    <w:p>
      <w:r>
        <w:t>ORDONNANCE DE NON-ENTRÉE EN MATIÈRE;ESCROQUERIE;ABUS DE CONFIANCE;CONTRAINTE(DROIT PÉNAL) | CPP.310; CP.146; CP.138; CP.181; CP.251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a priori un intérêt juridiquement protégé à la modification ou à l'annulation de la décision querellée (art. 382 al. 1 CPP).</w:t>
      </w:r>
    </w:p>
    <w:p>
      <w:r>
        <w:rPr>
          <w:b/>
        </w:rPr>
        <w:t>E. 2</w:t>
      </w:r>
    </w:p>
    <w:p>
      <w:r>
        <w:t>La recourante fait grief au Ministère public de ne pas être entré en matière sur sa plainte.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Tel est le cas lorsqu'il est certain que les faits ne sont pas punissables, ce qui est notamment le cas lorsque le litige est d'ordre purement civil (ATF 137 IV 285 consid. 2.3; arrêts du Tribunal fédéral 6B_844/2020 du 24 mars 2021 consid. 2.6), ou alors en absence d'une plainte pénale valable pour les infractions poursuivies sur plainte (arrêt du Tribunal fédéral 7B_77/2022 du 12 décembre 2023 consid. 3.1).</w:t>
      </w:r>
    </w:p>
    <w:p>
      <w:r>
        <w:rPr>
          <w:b/>
        </w:rPr>
        <w:t>E. 2.2</w:t>
      </w:r>
    </w:p>
    <w:p>
      <w:r>
        <w:t>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 2.3.1 L'infraction d'abus de confiance (art. 138 CP) réprime le comportement de quiconque, pour se procurer ou procurer à un tiers un enrichissement illégitime, s’approprie une chose mobilière appartenant à autrui et qui lui a été confiée ou quiconque, sans droit, emploie à son profit ou au profit d’un tiers des valeurs patrimoniales qui lui ont été confiées. L'infraction d'escroquerie (art. 146 CP) réprime quant à elle le comportement de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2.3.2. Ces deux infractions sont poursuivies sur plainte lorsqu'elles sont commises au préjudice des proches (art. 138 al. 4 et 146 al. 3 CP), soit en particulier les frères et sœurs (art. 110 al. 1 CP).</w:t>
      </w:r>
    </w:p>
    <w:p>
      <w:r>
        <w:rPr>
          <w:b/>
        </w:rPr>
        <w:t>E. 2.4</w:t>
      </w:r>
    </w:p>
    <w:p>
      <w:r>
        <w:t>L'art. 181 réprime, du chef de contrainte, quiconque, en usant de violences envers une personne ou en la menaçant d'un dommage sérieux, ou en l'entravant de quelque autre manière dans sa liberté d'action, l'oblige à faire, à ne pas faire ou à laisser faire un acte.</w:t>
      </w:r>
    </w:p>
    <w:p>
      <w:r>
        <w:rPr>
          <w:b/>
        </w:rPr>
        <w:t>E. 2.4.1</w:t>
      </w:r>
    </w:p>
    <w:p>
      <w:r>
        <w:t>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w:t>
      </w:r>
    </w:p>
    <w:p>
      <w:r>
        <w:rPr>
          <w:b/>
        </w:rPr>
        <w:t>E. 2.4.2</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du Tribunal fédéral 6B_614/2021 du 20 avril 2022 consid. 7.2). Faire notifier un commandement de payer lorsqu'on est fondé à réclamer une somme est toutefois licite. Ce n'est ainsi que si un tel procédé est utilisé comme moyen de pression et qu'il est clairement abusif, qu'il est illicite (ATF 115 III 18 consid. 3; arrêt du Tribunal fédéral 6B_271/2024 du 17 septembre 2024 consid. 2.1.1). Tel sera le cas lorsque le soi-disant créancier n'est pas fondé à réclamer la somme objet de la poursuite ou encore lorsque le commandement de payer repose sur un document faux ou falsifié (arrêts du Tribunal fédéral 6B_447/2014 du 30 octobre 2014 consid. 2.2 et 6B_281/2013 du 16 juillet 2013 consid. 1.1.2).</w:t>
      </w:r>
    </w:p>
    <w:p>
      <w:r>
        <w:rPr>
          <w:b/>
        </w:rPr>
        <w:t>E. 2.5</w:t>
      </w:r>
    </w:p>
    <w:p>
      <w:r>
        <w:t>Le faux dans les titres (art. 251 CP) punit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w:t>
      </w:r>
    </w:p>
    <w:p>
      <w:r>
        <w:rPr>
          <w:b/>
        </w:rPr>
        <w:t>E. 2.6</w:t>
      </w:r>
    </w:p>
    <w:p>
      <w:r>
        <w:t>En l'espèce, la recourante reproche à sa sœur de s'être appropriée sa part d'héritage, en transférant les avoirs bancaires issus de la succession de feu leur père sur un autre compte, et de l'avoir astucieusement induite en erreur en lui faisant conclure divers contrats, ceci afin d'obtenir d'elle des sommes indues. Ce faisant, la mise en cause aurait réalisé les éléments constitutifs des infractions d'abus de confiance et d'escroquerie. Il ressort des éléments au dossier que la reconnaissance de dette du 27 novembre 2014 comporte déjà une référence au compte n° 2______. En outre, les contrats de prêt ont été signés par les deux sœurs en 2015 et les décomptes annuels tenus entre elles, affichant un solde de CHF 143'573.- en faveur de la mise en cause, ont été signés par la recourante le 14 juin 2016, ce qu'elle ne remet pas en cause. Enfin, cette dernière s'est vu notifier un commandement de payer, par lequel sa sœur lui a réclamé tant le remboursement des prêts que sa part d'impôt sur la fortune, et y a formé opposition le 16 octobre 2023. Au vu de ce qui précède, la recourante était déjà en mesure de dénoncer les agissements de la mise en cause, à tout le moins dès le 16 octobre 2023. Sa plainte, qui date du 12 mars 2024, est ainsi tardive pour les infractions d'abus de confiance et d'escroquerie, pour lesquelles la non-entrée en matière prononcée est justifiée, par substitution de motifs.</w:t>
      </w:r>
    </w:p>
    <w:p>
      <w:r>
        <w:rPr>
          <w:b/>
        </w:rPr>
        <w:t>E. 2.7</w:t>
      </w:r>
    </w:p>
    <w:p>
      <w:r>
        <w:t>La recourante reproche aussi à la mise en cause d'avoir " vraisemblablement " indiqué, dans le formulaire A relatif au compte n° 2______, être la titulaire des avoirs bancaires déposés, et d'avoir tenté de la contraindre par le biais de la notification d'un commandement de payer. Le formulaire en question n'a jamais été versé au dossier, de sorte qu'il ne peut déjà pas être établi quelles informations ont été données par la mise en cause. Quoiqu'il en soit, à teneur du contrat signé par la fratrie le 12 décembre 2013, le compte de feu leur père devait être transféré au nom de la mise en cause exclusivement, qui conservait la propriété de sa part d'héritage et détenait celle de sa sœur " à titre fiduciaire ". À supposer que l'intéressée ait effectivement déclaré être l'ayant droit économique des avoirs, cette information n'apparaît pas contraire aux modalités prévues contractuellement et acceptées par la recourante. Les éléments constitutifs de l'infraction de faux dans les titres, mentionnée expressément pour la première fois par la recourante dans son recours, ne sont ainsi pas réalisés. Il en va de même pour la tentative de contrainte. Le commandement de payer notifié à la recourante portait sur deux créances: la première, de CHF 143'573.-, trouvait son fondement dans les décomptes annuels établis – et signés – par les deux sœurs. La seconde, de CHF 104'100.-, correspondait, selon la mise en cause, à la part d'impôt sur la fortune supportée pour sa sœur et devant être remboursée. Par la suite, la mise en cause a requis – et obtenu du TPI – la mainlevée de l'opposition pour le premier poste uniquement. La recourante ne fait pas grand cas de cette seconde créance, dénonçant sans distinction la poursuite engagée par sa sœur contre elle. De toute manière, la mise en cause a fourni des explications sur cette prétention, étant souligné que le montant réclamé pour l'impôt sur la fortune est rendu vraisemblable par le fait que toute la fortune est au nom de la mise en cause. S'agissant de la première créance, la somme réclamée par la mise en cause correspond au total prétendument dû par la recourante, selon les décomptes annuels qui comportent, en sus de la signature de la recourante, la mention " Bon pour accord valable jusqu'au remboursement" . À cet égard, si cette dernière soutenait – dans sa plainte – avoir été induite en erreur pour signer le document en cause, elle n'a toutefois jamais contesté le contenu de celui-ci. Rien ne permet ainsi de considérer que la poursuite engagée par la mise en cause était illicite, ni disproportionnée.</w:t>
      </w:r>
    </w:p>
    <w:p>
      <w:r>
        <w:rPr>
          <w:b/>
        </w:rPr>
        <w:t>E. 3</w:t>
      </w:r>
    </w:p>
    <w:p>
      <w:r>
        <w:t>Justifiée, l'ordonnance querellée sera donc confirmée, en partie par substitution de motifs.</w:t>
      </w:r>
    </w:p>
    <w:p>
      <w:r>
        <w:rPr>
          <w:b/>
        </w:rPr>
        <w:t>E. 4</w:t>
      </w:r>
    </w:p>
    <w:p>
      <w:r>
        <w:t>La recourante, qui succombe, supportera les frais envers l'État, fixés en intégralité à CHF 1'000.- (art. 428 al. 1 CPP et 13 al. 1 du Règlement fixant le tarif des frais en matière pénale, RTFMP; E 4 10.03), qui seront prélevés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