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P/6707/2015 vom 8. Februar 2017</w:t>
      </w:r>
    </w:p>
    <w:p>
      <w:r>
        <w:t>GE Cour de justice, 2017-02-08, FR</w:t>
      </w:r>
    </w:p>
    <w:p>
      <w:r>
        <w:rPr>
          <w:b/>
        </w:rPr>
        <w:t xml:space="preserve">Quelle: </w:t>
      </w:r>
      <w:r>
        <w:t>https://mcp.opencaselaw.ch/entscheid/ge_gerichte_P_6707_2015</w:t>
      </w:r>
    </w:p>
    <w:p>
      <w:r>
        <w:t>FR: GE_GERICHTE P/6707/2015 du 8 février 2017</w:t>
      </w:r>
    </w:p>
    <w:p>
      <w:r>
        <w:t>IT: GE_GERICHTE P/6707/2015 del 8 febbraio 2017</w:t>
      </w:r>
    </w:p>
    <w:p>
      <w:pPr>
        <w:pStyle w:val="Heading2"/>
      </w:pPr>
      <w:r>
        <w:t>Regeste</w:t>
      </w:r>
    </w:p>
    <w:p>
      <w:r>
        <w:t>IN DUBIO PRO REO ; VOL(DROIT PÉNAL) ; VIOLATION DE DOMICILE ; DOMMAGES À LA PROPRIÉTÉ(DROIT PÉNAL) ; COMPLICITÉ ; SÉJOUR ILLÉGAL ; AUTORISATION DE SÉJOUR ; VISA(AUTORISATION) ; FIXATION DE LA PEINE ; CONCOURS D'INFRACTIONS ; ANTÉCÉDENT ; SURSIS À L'EXÉCUTION DE LA PEINE | CP139; CP144; CP186; LEtr115.1b; CP49; CP25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6B_109/2014 du 25 septembre 2014 consid. 2.1 ; 6B_398/2013 du 11 juillet 2013 consid. 2.1 et 6B_642/2012 du 22 janvier 2013 consid. 1.1). 2.1.3. Dans certaines circonstances, le fait qu'un raccordement téléphonique portable soit localisé, de manière répétée, dans des tranches horaires compatibles et à proximité des lieux où des infractions ont été commises est un indice de la participation de son détenteur auxdites infractions (arrêt du Tribunal fédéral 6B_736/2008 du 23 mars 2009 consid. 7).</w:t>
      </w:r>
    </w:p>
    <w:p>
      <w:r>
        <w:rPr>
          <w:b/>
        </w:rPr>
        <w:t>E. 2.2</w:t>
      </w:r>
    </w:p>
    <w:p>
      <w:r>
        <w:t>L'art. 139 ch. 1 CP réprime le comportement de celui qui, pour se procurer ou procurer à un tiers un enrichissement illégitime, aura soustrait une chose mobilière appartenant à autrui dans le but de se l'approprier. Pour qu'il y ait vol, il faut que l'auteur soustraie la chose à autrui, c'est-à-dire qu'il brise la possession d'autrui pour constituer une nouvelle possession sur la chose. La notion de possession, au sens de l'art. 139 CP, n'est pas la même que celle de droit civil (art. 919 du Code civil suisse du 10 décembre 1907 [CC - RS 210]). En matière pénale, la possession (Gewahrsam, possesso) est définie comme un pouvoir de fait sur la chose, selon les règles de la vie sociale. Elle présuppose la disposition effective de la chose et la volonté de la posséder (arrêt du Tribunal fédéral 6B_243/2014 du 15 juillet 2014 consid. 2.3 et les références citées). En principe, la rupture de la possession et la création d'une nouvelle interviennent par l'accomplissement d'un seul et unique acte de l'auteur (A. DONATSCH, Strafrecht III : Delikte gegen den Einzelnen , 9 e éd., Zurich/Bâle/Genève 2008, p. 141). La participation au vol sous la forme de complicité demeure possible entre la consommation (Vollendung) et l'achèvement (Beendigung) de l'infraction, soit entre le moment où la soustraction est parfaite et l'appropriation effective de la chose soustraite (ATF 104 IV 156 consid. 3 et les références citées).</w:t>
      </w:r>
    </w:p>
    <w:p>
      <w:r>
        <w:rPr>
          <w:b/>
        </w:rPr>
        <w:t>E. 2.3</w:t>
      </w:r>
    </w:p>
    <w:p>
      <w:r>
        <w:t>Selon l'art. 144 al. 1 CP, se rend coupable de dommage à la propriété celui qui aura endommagé, détruit ou mis hors d'usage une chose appartenant à autrui ou frappée d'un droit d'usage ou d'usufruit au bénéfice d'autrui et sera puni sur plainte.</w:t>
      </w:r>
    </w:p>
    <w:p>
      <w:r>
        <w:rPr>
          <w:b/>
        </w:rPr>
        <w:t>E. 2.4</w:t>
      </w:r>
    </w:p>
    <w:p>
      <w:r>
        <w:t>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2.5.1.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 ATF 135 IV 152 consid. 2.3.1 ; SJ 2008 I 373 consid. 7.3.4.5). La jurisprudence exige même que le coauteur ait une certaine maîtrise des opérations et que son rôle soit plus ou moins indispensable (ATF 120 IV 17 consid. 2d ; 136 consid. 2b ;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2.5.2.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121 IV 109 consid. 3a ; arrêt du Tribunal fédéral 6B_72/2009 du 20 mai 2009 consid. 2.1). Le complice qui réalise des actes d'exécution du comportement incriminé sera considéré comme un coauteur (J. HURTADO POZO, Droit pénal : partie générale , Genève/Zurich/Bâle 2008, n. 1172, p. 377). A l'inverse de celui-ci, le complice ne veut pas l'infraction pour sienne et n'est pas prêt à en assumer la responsabilité. En règle générale, celui qui se borne à faire le guet agit en qualité de complice et non de coauteur (arrêt du Tribunal fédéral 6B_681/2007 du 25 janvier 2008 consid. 2.3). 2.6.1. Pour la CPAR, l'appelant a participé aux cambriolages commis au préjudice des plaignants I______, J______, O______, H______ et P______. Déjà connu par la justice italienne pour vol, il logeait à l'époque des faits dans une villa située dans le même secteur que les maisons visitées, à l'intérieur de laquelle la police a découvert de très nombreux objets dérobés à ces occasions. Ses explications selon lesquelles son état de santé l'aurait empêché de participer à des cambriolages ne sont ni établies ni crédibles, surtout que l'appelant aurait encore tout récemment travaillé sur des chantiers en Italie, après sa sortie de prison en mars 2016, et exercé ainsi une activité bien plus contraignante physiquement que celle, par exemple, de simple guet. 2.6.2.1. S'agissant plus particulièrement du cas P______, l'appelant a été interpellé à proximité des lieux, quelques minutes après le cambriolage, en compagnie des deux autres voleurs, qui étaient en possession des chaussures de la partie plaignante et qui ont fini par avouer. L'intimé F______ a d'ailleurs affirmé, avant de se rétracter, que l'appelant se trouvait avec eux sous le balcon de l'appartement et qu'ils avaient pris la fuite ensemble. Cette version est corroborée par l'analyse technique, qui localise l'appelant sur place pendant l'heure qui a précédé le cambriolage et qui met à mal sa version selon laquelle il aurait rencontré ses deux compatriotes par hasard, juste avant l'arrivée de la police. 2.6.2.2. En ce qui concerne les cas J______, I______ et H______, la prévention de l'appelant repose principalement sur le fait qu'il était en possession d'une partie du butin provenant de ces cambriolages au moment de son arrestation et qu'il n'a pas été en mesure de donner des explications plausibles sur les circonstances dans lesquelles il avait pris possession de ces objets, fournissant des déclarations fantaisistes et contradictoires, qui n'ont cessé de varier au cours de la procédure. Seule la participation aux cambriolages précités permet d'expliquer cette possession, surtout que l'appelant était dépourvu de toute source licite de revenu et n'avait aucun moyen d'acquérir des objets de valeur tels que des montres, des bijoux et du matériel électronique. Quant au cas O______, il fait série avec celui au préjudice du plaignant H______ – même immeuble et même créneau horaire. De plus, une partie du butin provenant de ce cambriolage a été trouvée dans la villa dans laquelle logeait l'appelant qui, au moment de son arrestation, était en possession de Dirhams, soit une devise qu'il n'avait aucune raison de détenir et dont le plaignant O______ avait signalé le vol la veille. Enfin, on relèvera, avec les premiers juges, que les cambriolages ont été commis dans le même secteur, en pénétrant ou en tentant de pénétrer dans les logements par effraction des portes fenêtres et, dans quatre cas sur cinq, en escaladant les balcons, soit selon un modus operandi similaire. 2.6.3. La possession d'objets volés aux parties plaignantes, sa présence sur les lieux du cambriolage P______, le fait qu'il squattait la villa dans laquelle le butin était stocké ou encore ses rapports plus étroits qu'il ne l'admet avec son coprévenu F______, qui a utilisé les téléphones de l'appelant, montrent que ce dernier était bien impliqué dans la commission de ces vols, étant relevé que ses comparses n'auraient, dans le cas contraire, pas partagé avec lui le produit des infractions. Compte tenu des dénégations de l'appelant et de l'absence de collaboration de ses coprévenus, l'instruction du dossier n'a toutefois pas permis de déterminer quel a été son rôle exact au cours de chacun de ces cinq cambriolages. On ignore également les clés de répartition du butin. Par conséquent, dans le doute, on retiendra que la participation de l'appelant a été à tout le moins celle d'un complice, qui a été rémunéré pour son aide au moyen des objets volés. 2.6.4. En résumé, l'appelant est reconnu coupable d'avoir participé à cinq cambriolages, au lieu des trois retenus en première instance, mais en tant que complice et non pas en tant que coauteur, de sorte que l'appel principal de la défense et l'appel joint du Ministère public sont tous deux partiellement admis, avec cette précision que dans le cas P______, seuls le vol et la violation de domicile sont retenus, conformément à la décision des premiers juges qui n'a pas été remise en cause sur ce point. 2.7.1. L'art. 160 ch. 1 al. 1 CP réprime le comportement de celui qui aura, notamment, dissimulé une chose dont il savait ou devait présumer qu'un tiers l'avait obtenue au moyen d'une infraction contre le patrimoine. La valeur patrimoniale doit être issue avec certitude d'un délit contre le patrimoine. Le recel peut se concevoir même lorsque l'auteur de l'acte préalable est inconnu, si la preuve peut être rapportée que le possesseur actuel d'une chose ne peut l'avoir acquise que d'un voleur inconnu (arrêts du Tribunal fédéral 6B_1124/2014 du 22 septembre 2015 consid. 2.1 et 6B_115/2007 du 24 septembre 2007 consid. 3.3.3). Enfin, le recel est une infraction intentionnelle, mais il suffit que l'auteur sache ou doive présumer, respectivement qu'il accepte l'éventualité que la chose provienne d'une infraction contre le patrimoine (arrêts du Tribunal fédéral 6B_1124/2014 du 22 septembre 2015 consid. 2.1 et 6B_728/2010 du 1 er mars 2011 consid. 2.2). Il en va ainsi lorsque les circonstances suggèrent le soupçon de la provenance délictueuse (ATF 129 IV 230 consid. 5.3.2. et les références à l'ATF 119 IV 242 consid. 2b ; ATF 101 IV 402 consid. 2). 2.7.2. Il n'est pas établi que le téléphone NOKIA et la montre LONGINES, dont l'appelant dit avoir fait l'acquisition auprès d'un Roumain pour de modiques sommes, proviennent d'une infraction contre le patrimoine, dans la mesure où ces objets ne sont pas répertoriés comme volés et n'ont pas non plus été identifiés par les parties plaignantes dans la présente procédure. L'appelant sera partant acquitté de ce chef d'accusation et le jugement entrepris réformé en ce sens. 2.8.1.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2.8.2. 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2.8.3.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 RS142.201 et ATF 131 IV 174 ). Pour un séjour n'excédant pas trois mois sur une période de six mois, les ressortissants de pays tiers doivent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(art. 5 al. 1 let. c du règlement (CE) n° 562/2006 établissant un code communautaire relatif au régime de franchissement des frontières par les personnes (ci-après : Code frontières Schengen ; JO L 105/1 du 15.03.20016). 2.8.4. Selon le règlement (UE) n° 1091/2010 (JO L 329 du 14.12.2010) modifiant le règlement (UE) n° 539/2001 (JO L 81/1 du 15.03.2001), les ressortissants albanais peuvent séjourner en Suisse jusqu'à 90 jours sans visa. Cette exemption ne s'applique qu'aux ressortissants albanais détenteurs de passeports biométriques. Un visa national suisse, un visa Schengen et un titre de séjour sont équivalents. "Le visa national autorise son titulaire non seulement à entrer sur le territoire des autres Etats Schengen durant 90 jours au plus […], pour autant que les conditions d'entrée dans l'espace Schengen soient remplies […]" (Directives du Secrétariat d'Etat aux migrations (ci-après : SEM) en matière d'octroi de visas nationaux, point 1.3.3, édition 9 du 1 er mars 2016). Les ressortissants des états tiers sont exemptés de visa pour entrer dans l'espace Schengen s'ils sont titulaires d'un titre de séjour valable figurant dans l'annexe 2 du Manuel des visas I et d'un document de voyage valable et reconnu selon l'annexe 1, liste 1 des prescriptions en matière de document de voyage et de visas selon la nationalité (Prescriptions en matière de documents de voyage et de visas – Dispositions particulières indépendantes de la nationalité, annexe 1, liste 2, version au 17 juillet 2015, point 2.3, p. 3). Font notamment partie des titres de séjour valables au sens de l'annexe 2 du Manuel des visas I, les cartes de séjour à validité permanente en format papier délivrées par l'Italie avant le 8 janvier 2007. Quant au document de voyage nécessaire aux ressortissants albanais pour pouvoir entrer sur le territoire suisse, celui-ci doit être valable au moins trois mois au-delà de la date de sortie prévue de l'espace Schengen et avoir été délivré depuis moins de dix ans (Prescriptions en matière de document de voyage et de visas selon la nationalité, annexe : 1 liste : 1, version du 15 mars 2016). 2.8.5. En l'espèce, la carte de séjour italienne de l'appelant est antérieure au 8 janvier 2007, de sorte qu'elle constitue un titre de séjour valable au sens de l'annexe 2 du Manuel des visas I. Cela étant, une telle carte de séjour ne dispensait nullement l'appelant de se trouver en possession d'un titre de voyage valable, à savoir un passeport, au moment où il est entré en Suisse. La CPAR retient par conséquent que l'appelant s'est rendu coupable de séjour illégal au sens des articles 115 al. 1 let. b LEtr depuis, à tout le moins, le 12 janvier 2015, date de son arrivée en Suisse, d'après ses propres déclarations. Partant, le jugement querellé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3 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Code pénal I : art. 1 -100 CP , Bâle 2009, n. 55 ad art. 47). Il en va de même des antécédents étrangers (ATF 105 IV 225 consid. 2). 3.1.2. A teneur de l'art. 25 CP, la peine est atténuée à l'égard de celui qui aura intentionnellement prêté assistance pour commettre un crime ou un délit. 3.1.3.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3.1.4. L'art. 42 al. 2 CP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Les condamnations étrangères doivent également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et 6S.253/2004 du 3 novembre 2004 consid. 4 ; cf. également M. NIGGLI / H. WIPRÄCHTIGER, Basler Kommentar Strafrecht I : Art. 1-110 StGB, Jugendstrafgesetz , 2 e éd., Bâle 2007, n. 90 ad art. 42). 3.1.5. Les infractions de vol, dommages à la propriété, violation de domicile et séjour illégal sont réprimées d'une peine privative de liberté de cinq ans, respectivement trois et un an, au plus, ou d'une peine pécuniaire. 3.1.6. En l'espèce, l'appelant est reconnu coupable de complicité de cinq cambriolages en concours avec le séjour illégal (art. 49 CP). La faute de l'appelant est grave, dès lors qu'il a prêté main forte à une série de cambriolages, en aidant ses comparses à pénétrer dans des logements d'habitation et à voler des objets ayant parfois une valeur sentimentale, sans aucun égard pour les victimes. Si l'activité délictuelle s'est développée sur une dizaine de jours seulement, elle a été très soutenue. A décharge, il sera retenu que la participation de l'appelant n'est restée qu'au stade de la complicité. L'appelant a agi par appât du gain facile, de manière égoïste, au mépris du patrimoine et de la liberté de nombreuses personnes. Sa collaboration à la procédure doit être qualifiée de mauvaise. En effet, l'appelant n'a eu de cesse de nier les faits et de varier dans ses déclarations parfois fantaisistes, ce qui a fortement compliqué l'instruction de la cause. Son comportement dénote une absence totale de prise de conscience. L'appelant a fait preuve d'une volonté délictuelle marquée en réitérant des infractions contre le patrimoine à Genève, alors qu'il venait d'effectuer un séjour en prison en Italie pour des faits similaires. Sa situation personnelle, bien que précaire, ne peut justifier ses agissements dans la mesure où elle résulte de son choix de venir en Suisse, sans avoir le droit d'y résider et d'y travailler. Pour ces motifs, une peine privative de liberté d'une année consacre une correcte appréciation des critères de l'art. 47 CP. Vu la récidive spécifique et l'absence de circonstances particulièrement favorables, il n'y a pas lieu de mettre l'appelant au bénéfice du sursis (art. 42 CP).</w:t>
      </w:r>
    </w:p>
    <w:p>
      <w:r>
        <w:rPr>
          <w:b/>
        </w:rPr>
        <w:t>E. 4</w:t>
      </w:r>
    </w:p>
    <w:p>
      <w:r>
        <w:t>L'appelant, qui succombe partiellement, supportera les 3/4 des frais de la procédure envers l'Etat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5.2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65.- pour un stagiaire (let. a) et de CHF 200.- (let. c) pour un chef d'étude. En cas d'assujettissement, l'équivalent de la TVA est versé en sus.</w:t>
      </w:r>
    </w:p>
    <w:p>
      <w:r>
        <w:rPr>
          <w:b/>
        </w:rPr>
        <w:t>E. 5.3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5.4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5.5</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d'1h30 pour les avocats et d'1h00 pour les avocats stagiaires, ce qui comprend le temps de déplacement.</w:t>
      </w:r>
    </w:p>
    <w:p>
      <w:r>
        <w:rPr>
          <w:b/>
        </w:rPr>
        <w:t>E. 5.6</w:t>
      </w:r>
    </w:p>
    <w:p>
      <w:r>
        <w:t>Les séances internes entre le défenseur d'office et son stagiaire, par exemple, ne sont pas indemnisées par l'assistance juridique ( AARP/57/2016 du 9 février 2016 consid. 7.2 et 7.3 ; AARP/307/2014 du 2 juillet 2014 ; AARP/20/2014 du 7 janvier 2014).</w:t>
      </w:r>
    </w:p>
    <w:p>
      <w:r>
        <w:rPr>
          <w:b/>
        </w:rPr>
        <w:t>E. 5.7</w:t>
      </w:r>
    </w:p>
    <w:p>
      <w:r>
        <w:t>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telles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5.8</w:t>
      </w:r>
    </w:p>
    <w:p>
      <w:r>
        <w:t>En l'occurrence, le décompte produit par le défenseur d'office de l'appelant paraît adéquat, à l'exception des postes "Visite de M. A______ à Champ-Dollon" du 17 mars 2016 (1h00), dès lors qu'une seule visite par mois est couverte par l'assistance juridique et qu'une première visite avait déjà eu lieu, "Séance interne avec M e U______" (1h00), une telle séance ne devant pas être indemnisée par l'assistance juridique en application des principes précédemment exposés, et "Rédaction de la déclaration d'appel" (40 minutes), cette activité étant comprise dans le forfait précité.</w:t>
      </w:r>
    </w:p>
    <w:p>
      <w:r>
        <w:rPr>
          <w:b/>
        </w:rPr>
        <w:t>E. 5.9</w:t>
      </w:r>
    </w:p>
    <w:p>
      <w:r>
        <w:t>La note de frais du défenseur d'office fait également état de frais d'interprète pour un montant de CHF 240.-, soit 3 fois CHF 80.-. Une indemnité de CHF 240.- lui sera par conséquent allouée à ce titre.</w:t>
      </w:r>
    </w:p>
    <w:p>
      <w:r>
        <w:rPr>
          <w:b/>
        </w:rPr>
        <w:t>E. 5.10</w:t>
      </w:r>
    </w:p>
    <w:p>
      <w:r>
        <w:t>En conclusion, l'indemnisation requise pour la procédure d'appel sera arrêtée à CHF 3'578.75 correspondant à 37h05 d'activité (audience d'appel d'une durée d'1h00 comprise) au tarif de CHF 65.-/heure et 2h00 d'activité au tarif de CHF 200.-/heure, plus la majoration forfaitaire de 10% (CHF 281.05) et l'équivalent de la TVA au taux de 8% en CHF 247.30, plus CHF 240.-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