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P/6697/2018 vom 13. Juli 2021</w:t>
      </w:r>
    </w:p>
    <w:p>
      <w:r>
        <w:t>GE Cour de justice, 2021-07-13, FR</w:t>
      </w:r>
    </w:p>
    <w:p>
      <w:r>
        <w:rPr>
          <w:b/>
        </w:rPr>
        <w:t xml:space="preserve">Quelle: </w:t>
      </w:r>
      <w:r>
        <w:t>https://mcp.opencaselaw.ch/entscheid/ge_gerichte_P_6697_2018</w:t>
      </w:r>
    </w:p>
    <w:p>
      <w:r>
        <w:t>FR: GE_GERICHTE P/6697/2018 du 13 juillet 2021</w:t>
      </w:r>
    </w:p>
    <w:p>
      <w:r>
        <w:t>IT: GE_GERICHTE P/6697/2018 del 13 luglio 2021</w:t>
      </w:r>
    </w:p>
    <w:p>
      <w:pPr>
        <w:pStyle w:val="Heading2"/>
      </w:pPr>
      <w:r>
        <w:t>Regeste</w:t>
      </w:r>
    </w:p>
    <w:p>
      <w:r>
        <w:t>FIXATION DE LA PEINE;ERREUR SUR LES FAITS(DROIT PÉNAL);violence ou menace contre les autorités et les fonctionnaires;traitement ambulatoire | CP.285.al1.ch1; CP.47; CP.63; CPP.433.al1; CP.13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Conformément à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Au détour de son argumentation principale ( infra consid. 3), l’appelant se prévaut d’une violation de la maxime d’accusation au motif que le TP a retenu qu’il avait tenté de se soustraire à « son interpellation » alors que l’acte d’accusation évoquait « son contrôle ». Il ne précise pas quelle conséquence devrait en être déduite. Il est vrai que le TP a retenu que « par son comportement, après le contrôle d’identité, le prévenu [avait] bien montré sa détermination à se soustraire à son interpellation, puisqu’au moment où il [avait] vu les menottes, il [s’était] enfui en courant ... » puis encore que « le prévenu, au moment où il a assené les premiers coups aux plaignants, savait ou au moins devait se douter qu’il s’agissait de policiers, et [..] il a agi ainsi afin d’empêcher son interpellation » (jugement, consid. 1.2). Il résulte cependant clairement du dossier, et la défense l’a parfaitement compris, que l’incident a débuté par une tentative des trois policiers de procéder au contrôle de celui qu’ils soupçonnaient être un consommateur, et que la situation a dégénéré en interpellation parce que l’intéressé était si agité qu’il a été jugé préférable de le menotter avant de procéder à une palpation. Le prévenu a frappé les agents à ce moment-là, alors que le contrôle n’était pas terminé, la carte d’identité n’ayant pu être examinée, ni la palpation effectuée. C’est ainsi bien pour se soustraire audit contrôle que l’appelant a commis les premières voies de fait, ainsi que décrit sous chiffre 1.1. let. a de l’acte d’accusation. L’argument soulevé par la défense doit donc conduire à une correction de l’état de fait retenu par le TP, sans que cela n’entraîne de conséquence sur le verdict retenu.</w:t>
      </w:r>
    </w:p>
    <w:p>
      <w:r>
        <w:rPr>
          <w:b/>
        </w:rPr>
        <w:t>E. 3</w:t>
      </w:r>
    </w:p>
    <w:p>
      <w:r>
        <w:t>3.1. La rectification de l’état de fait qui précède conduit aussi à écarter l’argument de l’appelant selon lequel il n’y aurait pas de lien entre les voies de fait et l’empêchement d’accomplir un acte officiel, soit en l’occurrence, le contrôle, puisqu’il vient d’être retenu que le contrôle était toujours en cours lorsque l’appelant a frappé les parties plaignantes, afin de les en empêcher.</w:t>
      </w:r>
    </w:p>
    <w:p>
      <w:r>
        <w:rPr>
          <w:b/>
        </w:rPr>
        <w:t>E. 3.2</w:t>
      </w:r>
    </w:p>
    <w:p>
      <w:r>
        <w:t>Sous réserve de cette question du lien entre les voies de faits et l’acte officiel empêché, l’appelant ne conteste à raison pas que, examinés objectivement, les faits reprochés et reconnus sont constitutifs d’infraction à l’art. 285 ch. 1 al. 1 CP. Il se prévaut cependant d’une erreur sur les faits, y compris au sens de la légitime défense putative.</w:t>
      </w:r>
    </w:p>
    <w:p>
      <w:r>
        <w:rPr>
          <w:b/>
        </w:rPr>
        <w:t>E. 3.2.1</w:t>
      </w:r>
    </w:p>
    <w:p>
      <w:r>
        <w:t>Selon l'art. 13 CP, quiconque agit sous l'influence d'une appréciation erronée des faits est jugé d'après celle-ci,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w:t>
      </w:r>
    </w:p>
    <w:p>
      <w:r>
        <w:rPr>
          <w:b/>
        </w:rPr>
        <w:t>E. 3.2.2</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CP peuvent cependant être ordonnées (al. 3).</w:t>
      </w:r>
    </w:p>
    <w:p>
      <w:r>
        <w:rPr>
          <w:b/>
        </w:rPr>
        <w:t>E. 3.2.3</w:t>
      </w:r>
    </w:p>
    <w:p>
      <w:r>
        <w:t>Le TP a admis à raison que les doutes sur la réalité de la fonction des trois personnes qui l’avaient approché, constamment évoqués par l’appelant pour expliquer son comportement, étaient véritables. En effet, si, formulées pour la défense d’un prévenu en pleine possession de ses facultés, elles devraient être tenues pour fantaisistes, de telles allégations sont en revanche parfaitement plausibles au regard de la schizophrénie paranoïde dont l’appelant est affecté. Néanmoins, celui-ci a lui-même exposé qu’il avait initialement aussi bien la crainte d’avoir affaire à des malfrats que celle qu’il s’agissait de policiers dans l’exercice de leur fonction, vu ses précédentes mauvaises expériences avec l’autorité, donnant un poids égal aux deux hypothèses et n’affirmant pas qu’il en aurait exclu une. Il a ainsi non seulement envisagé mais aussi accepté que la seconde pouvait être la bonne. À cet égard, la référence au fait que la mère du prévenu et deux autres protagonistes ont eux-mêmes pensé dans un premier temps que l’appelant était victime d’une agression est non seulement sans pertinence, mais aussi défavorable à sa défense, dès lors que les intéressés ont immédiatement accepté l’explication qu’il s’agissait en fait de policiers, et adapté leur comportement à cette situation, ce que le prévenu n’a pour sa part pas fait, malgré les conseils bienveillants du témoin E______. L’appelant aurait ensuite, soit à compter du moment où l’un des agents a annoncé son intention de le menotter, donné plus d’importance à la première alternative, à concurrence de 80%. Le fait qu’il soit incapable de donner un motif rationnel à ce basculement, alors que les policiers s’étaient légitimés, avaient accédé à sa demande de décliner leur numéro de matricule et l’avaient laissé appeler sa mère pour le rassurer, doit également être mis sur le compte de sa maladie mentale. Il demeure cependant qu’il reconnaît que, même à ce stade, la possibilité que le trio pouvait être formé de véritables agents restait présente à son esprit, l’intéressé ayant même expliqué qu’il était prêt à encourir une peine privative de liberté de 20 ans au cas où elle s’avérerait vraie. Le fait que l’appelant a continué d’envisager la situation réelle comme une alternative à la thèse de l’agression s’inscrit d’ailleurs logiquement dans sa construction mentale, les experts ayant retenu que sa faculté d’appréciation était fortement restreinte, non qu’elle était nulle. Il avait donc une capacité résiduelle d’appréhender correctement la situation, et il l’a fait, dans la même mesure réduite. Il s’ensuit que l’appelant a certes agi sous le coup d’une représentation fausse de la réalité, soit qu’il était peut-être en train de résister aux forces de l’ordre alors qu’il l’était purement et simplement, mais il n’empêche qu’il l’a envisagé et s’en est accommodé de sorte que l’infraction est bel et bien consommée. Mutatis mutandis les considérations qui précèdent s’appliquent à l’argument tiré de la légitime défense putative.</w:t>
      </w:r>
    </w:p>
    <w:p>
      <w:r>
        <w:rPr>
          <w:b/>
        </w:rPr>
        <w:t>E. 3.3</w:t>
      </w:r>
    </w:p>
    <w:p>
      <w:r>
        <w:t>L’appel est partant rejeté dans la mesure où il porte sur le verdict de culpabilité.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(ATF 136 IV 55 consid. 5.7 p. 62 s. ; arrêt du Tribunal fédéral 6B_1177/2018 du 9 janvier 2019 consid. 2.2). En d'autres termes, la responsabilité restreinte de l'auteur conduit à une atténuation de sa culpabilité et non directement de sa peine, l'atténuation de la culpabilité pouvant, par ailleurs, être compensée par d'autres éléments comme des mauvais antécédents. Dès lors, même en cas de responsabilité restreinte au sens de l'art. 19 al. 2 CP, une peine privative de liberté à vie ne sera pas forcément exclue si la faute du condamné, une fois la responsabilité restreinte ainsi que toutes les circonstances pertinentes prises en compte, demeure si grave qu'elle justifie une telle sanction (ATF 136 IV 55 consid. 5.5 p. 59; arrêt du Tribunal 6B_352/2014 du 22 mai 2015 consid. 6.3 non publié in ATF 141 IV 273 et les références citées).</w:t>
      </w:r>
    </w:p>
    <w:p>
      <w:r>
        <w:rPr>
          <w:b/>
        </w:rPr>
        <w:t>E. 4.3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w:t>
      </w:r>
    </w:p>
    <w:p>
      <w:r>
        <w:rPr>
          <w:b/>
        </w:rPr>
        <w:t>E. 4.4</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 11 juin 2019 consid. 2.1). Si l'art. 54 CP n'est pas conçu comme une règle d'exception, il ne doit pas être interprété extensivement (ATF 119 IV 280 consid. 1b). Il n'est pas exclu d'atténuer la peine en application de l'art. 54 CP en cas d'infraction intentionnelle. Toutefois, plus la faute est lourde, plus les conséquences touchant l'auteur doivent être graves et une atténuation de peine au titre de cette norme ne doit être admise qu'avec retenue (ATF 121 IV 162 consid. 2e arrêt du Tribunal fédéral 6B_515/2019 du 11 juin 2019 consid. 2.1 et références citées). Le Tribunal fédéral a notamment confirmé le refus d'appliquer l'art. 54 CP lorsqu'un parent n'est pas affecté dans une mesure excédant la douleur que tout père ou mère éprouve à la perte d'un enfant (arrêt du Tribunal fédéral 6B_719/2009 du 3 décembre 2009 consid. 4.2).</w:t>
      </w:r>
    </w:p>
    <w:p>
      <w:r>
        <w:rPr>
          <w:b/>
        </w:rPr>
        <w:t>E. 4.5</w:t>
      </w:r>
    </w:p>
    <w:p>
      <w:r>
        <w:t>Considérés objectivement, les faits sont sérieux : l’appelant a résisté avec violence et détermination à un banal contrôle policier et cela alors que les agents de police ont obtempéré à ses demandes de se légitimer, de décliner leur numéro de matricule et l’ont même laissé appeler sa mère, afin de le rassurer. Comme la situation avait dégénéré, ce qui légitimait et même contraignait les agents de police à procéder à son interpellation, il a pris la fuite, puis, s’étant refugié dans la voiture d’une connaissance, a derechef résisté, assenant moult coups de pieds aux policiers avant d’être extrait dudit véhicule et maîtrisé. Néanmoins, l’occurrence est, comme plaidé, unique et relativement ancienne. La collaboration de l’appelant a été très bonne, dans la mesure où tout au long de la procédure préliminaire et de première instance, il a répondu avec sincérité aux questions posées et a coopéré à l’expertise. Tout au plus peut-on observer qu’il semble en appel avoir quelque peu revisité les faits, vu ses explications nouvelles sur certains points (inquiétude liée à un changement de format du numéro de matricule ; production de la carte d’identité sous la contrainte ; explications plus élaborées sur la nature de l’agression dont il pensait être victime) mais on ne saurait guère en tirer de conclusion tant cette relecture pourrait être due à son état de santé mental. La prise de conscience est au mieux très faible, sans que l’on puisse davantage lui en faire grief, pour le même motif. L’appelant a un antécédent, partiellement spécifique. Nonobstant le cadre soutenant offert par sa famille, tout particulièrement ses parents, et la prise en charge de ses besoins financiers par le biais de l’assurance-invalidité, sa situation personnelle est assurément douloureuse, faute de perspectives alors qu’il est jeune et doté de bonnes capacités intellectuelles qu’il ne peut mettre à profit, toujours en raison de sa maladie. Contrairement à ladite maladie, cette situation est cependant sans lien avec les faits. Le TP a, à raison, fait siennes les conclusions de l’expert et en a déduit, au plan juridique, que la responsabilité de l’appelant était très fortement restreinte. Vu l’ensemble de ces éléments, la faute doit en définitive être tenue pour légère. Pour autant, les conditions d’une exemption de peine, que ce soit en application de l’art. 52 CP ou de l’art. 54 CP, ne sont pas réunies. Vu la détermination avec laquelle l’appelant a résisté à son contrôle d’abord, son interpellation ensuite, alors même qu’aucun reproche ne saurait être fait aux officiers de police, qui ne pouvaient deviner ses motivations, on ne saurait retenir que l’infraction est peu importante. Les conséquences ne l’ont pas été non plus pour les parties plaignantes, surtout la partie plaignante B______, victimes de lésions qui ne relèvent certes que de voies de fait, mais qui ont néanmoins été plutôt douloureuses, sans préjudice de ce qu’elles ont dû faire face à une situation inquiétante, confrontées à un individu agressif en pleine rue qui a ensuite sauté dans la voiture conduite par une femme dont elles ignoraient qu’elle le connaissait et était d’accord de l’accueillir de la sorte. À cela se sont ajoutés les désagréments non négligeables qui ont suivi, découlant de la nécessité de déposer plainte pénale et participer à la procédure, ne serait-ce que par souci de cohérence, face à la procédure instruite parallèlement contre elles suite à la propre plainte pénale de l’appelant. Tout cela exclut une exemption de peine en application de l’art. 52 CP. Celle de l’art. 54 CP pourrait davantage entrer en considération, non pas en raison des lésions physiques subies par l’appelant, qui ne peuvent être qualifiées de très lourdes (pas même de lourdes), mais du fait de l’impact que l’incident a eu sur la stabilisation en cours de sa situation. Cela étant, rien ne permet de penser que, même sans cela, les progrès faits n’auraient pas été mis en péril par le phénomène d’évolution par phases, avec des décompensations fréquentes, propre à la schizophrénie, tel que décrit par les experts. Il n’est pas établi non plus que sans l’incident, l’appelant aurait réussi l’examen complémentaire exigé de lui vu ses précédents résultats, insuffisants, pour la conclusion réussie de la formation de guide du patrimoine. Il y a ainsi sans doute eu un impact négatif pour le prévenu mais dont l’importance est difficile à mesurer. Par ailleurs, en toute hypothèse, vu l’anosognosie de l’intéressé, et à des fins de prévention spéciale, une exemption de peine serait un mauvais signal dans le cas présent, ce d’autant plus que l’appelant a un antécédent pour partie spécifique et que le bénéfice du sursis ne semble pas avoir eu l’effet escompté. À raison, l’appelant ne conteste pas, à titre subsidiaire, la quotité de la peine ou le quantum du jour-amende, fixés parle TP, l’un comme l’autre étant en effet adéquats eu égard aux critères de fixation de la peine, notamment la faute, et la situation financière de l’intéressé.</w:t>
      </w:r>
    </w:p>
    <w:p>
      <w:r>
        <w:rPr>
          <w:b/>
        </w:rPr>
        <w:t>E. 4.6</w:t>
      </w:r>
    </w:p>
    <w:p>
      <w:r>
        <w:t>Vu le risque de récidive, justifiant le prononcé d’une mesure de traitement ambulatoire ( cf. infra consid. 5), le pronostic est défavorable, ce qui exclut l’octroi du sursis (; (ATF 135 IV 180 consid. 2.3 ; 134 IV 1 consid. 3.1 ; arrêts du Tribunal fédéral 6B_1227/2015 du 29 juillet 2016 consid. 1.2.4 ; 6B_94/2015 du 24 septembre 2015 consid. 1.1 ; 6B_71/2012 du 21 juin 2012 consid. 6).</w:t>
      </w:r>
    </w:p>
    <w:p>
      <w:r>
        <w:rPr>
          <w:b/>
        </w:rPr>
        <w:t>E. 5</w:t>
      </w:r>
    </w:p>
    <w:p>
      <w:r>
        <w:t>C’est également à raison que l’appelant ne conteste pas le prononcé de la mesure de traitement ambulatoire, au sens de l’art. 63 CP, se contentant de s’en rapporter à justice. Il est partant renvoyé au consid. 4 du jugement (art. 82 al. 4 CPP).</w:t>
      </w:r>
    </w:p>
    <w:p>
      <w:r>
        <w:rPr>
          <w:b/>
        </w:rPr>
        <w:t>E. 6</w:t>
      </w:r>
    </w:p>
    <w:p>
      <w:r>
        <w:t>L'appelant, qui succombe, supportera les frais de la procédure envers l'État, comprenant un émolument d’arrêt de CHF 1'200.- (art. 428 al. 1 CPP et art. 14 al. 1 let e du Règlement fixant le tarif des frais en matière pénale [RTFMP]).</w:t>
      </w:r>
    </w:p>
    <w:p>
      <w:r>
        <w:rPr>
          <w:b/>
        </w:rPr>
        <w:t>E. 7</w:t>
      </w:r>
    </w:p>
    <w:p>
      <w:r>
        <w:t>7.1. L'art. 433 al. 1 CPP, applicable au stade de l’appel par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7.2</w:t>
      </w:r>
    </w:p>
    <w:p>
      <w:r>
        <w:t>L’appelant n’a pas contesté le principe de sa condamnation à couvrir la partie plaignante C______ de ses honoraires d’avocat pour la procédure préliminaire et de première instance en cas de confirmation du verdict de culpabilité, se contentant de s’en rapporter à justice. Il n’a pas non plus disputé le calcul des sommes allouées à ce titre par le TP, étant précisé que, interpellé par la Cour, le conseil juridique de ladite partie plaignante a indiqué qu’il ne plaidait pas au tarif préférentiel imposé par l'art. 9B du règlement général sur le personnel de la police (RGPPol), ses diligences étant à la charge de son client. Il n’y a dès lors pas lieu de revenir sur ces points du dispositif.</w:t>
      </w:r>
    </w:p>
    <w:p>
      <w:r>
        <w:rPr>
          <w:b/>
        </w:rPr>
        <w:t>E. 7.3</w:t>
      </w:r>
    </w:p>
    <w:p>
      <w:r>
        <w:t>La partie plaignante C______ obtient gain de cause en appel. Toutefois, on ne saurait soutenir que la participation active de son avocat à la procédure était encore nécessaire à ce stade pour faire valoir son point de vue, étant observé que son collègue B______ l’a pour sa part bien compris. Certes, l’appelant remettait en cause le principe de sa condamnation et, par voie de conséquence, l’indemnité selon l’art. 433 CPP (question qui ne se posait pas pour ledit collègue), mais rien ne laissait craindre qu’il soulèverait des arguments qui n’avaient été plaidés en première instance, discutés et écartés par la première juge, et/ou dont la Cour ne saurait apprécier la portée sans le concours du conseil juridique. Le dossier ne revêtait du reste aucune complexité, les faits n’étant pas contestés. Dans ces circonstances, les frais de défense exposés par la partie plaignante en appel seront tenus pour non nécessaires, de sorte que ses conclusions à ce titre seront écartées.</w:t>
      </w:r>
    </w:p>
    <w:p>
      <w:r>
        <w:rPr>
          <w:b/>
        </w:rPr>
        <w:t>E. 8</w:t>
      </w:r>
    </w:p>
    <w:p>
      <w:r>
        <w:t>Considéré globalement, l'état de frais du défenseur d'office de l’appelant satisfait les exigences légales et jurisprudentielles régissant l'assistance judiciaire gratuite en matière pénale. Sa rémunération sera partant arrêtée à CHF 1'884.75 correspondant à sept heures et demi d'activité au tarif de CHF 200.-/heure + la majoration forfaitaire de 10 % (le temps consacré à la totalité de l’affaire dépassant désormais le 30 heures) + le déplacement à l’audience (CHF 100.-) et l'équivalent de la TVA au taux de 7.7% (CHF 134.75).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