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P/6659/2023 vom 25. Mai 2023</w:t>
      </w:r>
    </w:p>
    <w:p>
      <w:r>
        <w:t>GE Cour de justice, 2023-05-25, FR</w:t>
      </w:r>
    </w:p>
    <w:p>
      <w:r>
        <w:rPr>
          <w:b/>
        </w:rPr>
        <w:t xml:space="preserve">Quelle: </w:t>
      </w:r>
      <w:r>
        <w:t>https://mcp.opencaselaw.ch/entscheid/ge_gerichte_P_6659_2023</w:t>
      </w:r>
    </w:p>
    <w:p>
      <w:r>
        <w:t>FR: GE_GERICHTE P/6659/2023 du 25 mai 2023</w:t>
      </w:r>
    </w:p>
    <w:p>
      <w:r>
        <w:t>IT: GE_GERICHTE P/6659/2023 del 25 maggio 2023</w:t>
      </w:r>
    </w:p>
    <w:p>
      <w:pPr>
        <w:pStyle w:val="Heading2"/>
      </w:pPr>
      <w:r>
        <w:t>Regeste</w:t>
      </w:r>
    </w:p>
    <w:p>
      <w:r>
        <w:t>DÉCISION D'IRRECEVABILITÉ;PARTIE À LA PROCÉDURE;QUALITÉ POUR AGIR ET RECOURIR;INFRACTIONS CONTRE LA SÉCURITÉ DES RAPPORTS JURIDIQUES;FAUX INTELLECTUEL DANS LES TITRES;FORCE PROBANTE | CPP.310; CPP.382; CPP.115; CP.251</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2.1</w:t>
      </w:r>
    </w:p>
    <w:p>
      <w:r>
        <w:t>Le recours a été déposé selon la forme et dans le délai prescrits (art. 385 al. 1 et 396 al. 1 CPP), les formalités de notification (art. 85 al. 2 CPP) n'ayant pas été observées –, et concerne une ordonnance sujette à recours auprès de la Chambre de céans (art. 393 al. 1 let. a CPP).![endif]&gt;![if&gt;</w:t>
      </w:r>
    </w:p>
    <w:p>
      <w:r>
        <w:rPr>
          <w:b/>
        </w:rPr>
        <w:t>E. 2.2</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2.2.1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2.2.2</w:t>
      </w:r>
    </w:p>
    <w:p>
      <w:r>
        <w:t>L'art. 251 CP protège, en tant que bien juridique, d'une part la confiance particulière placée dans un titre ayant valeur probante dans les rapports juridiques et, d'autre part, la loyauté dans les relations commerciales (ATF 142 IV 119 consid. 2.2; 132 IV 12 consid. 8.1). Cette disposition vise d'abord un bien juridique collectif. Toutefois, le faux dans les titres peut également porter atteinte à des intérêts individuels s'il vise précisément à nuire à un particulier (ATF 140 IV 155 consid. 3.3.3).</w:t>
      </w:r>
    </w:p>
    <w:p>
      <w:r>
        <w:rPr>
          <w:b/>
        </w:rPr>
        <w:t>E. 2.3</w:t>
      </w:r>
    </w:p>
    <w:p>
      <w:r>
        <w:t>En l'occurrence, dans la mesure où le document litigieux atteste que la mise en cause est la seule représentante légale de C______, alors que le recourant allègue détenir l'autorité parentale conjointe sur l'enfant, il porte atteinte aux droits de ce dernier. La qualité de lésé du recourant doit donc être admise et le recours est recevable sur ce point. Pour ce qui est du mensonge qu'aurait proféré la mise en cause au SPMI, on peine à voir quelle en serait l'atteinte directe du recourant, lui-même n'alléguant, tout au plus, que d'éventuelles conséquences par ricochet – dé-crédibilisation de ses propres déclarations –. Ce grief est donc irrecevable.</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![endif]&gt;![if&gt; Partant, ce grief sera rejeté.</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5 et 8 ad art. 310). La non-entrée en matière peut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w:t>
      </w:r>
    </w:p>
    <w:p>
      <w:r>
        <w:rPr>
          <w:b/>
        </w:rPr>
        <w:t>E. 4.2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 d’autrui pour fabriquer un titre supposé, ou constate ou fait constater faussement, dans un titre, un fait ayant une portée juridique, ou, pour tromper autrui, fait usage d’un tel titre.</w:t>
      </w:r>
    </w:p>
    <w:p>
      <w:r>
        <w:rPr>
          <w:b/>
        </w:rPr>
        <w:t>E. 4.3</w:t>
      </w:r>
    </w:p>
    <w:p>
      <w:r>
        <w:t>L'art. 251 ch. 1 CP – qui doit être appliqué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144 IV 13 consid. 2.2.2). Le faux intellectuel est un mensonge écrit qualifié, qui se distingue, par sa capacité de convaincre, d'une simple allégation unilatérale (ATF 126 IV 69 consid. 2a). Ainsi, la limite entre ces deux documents doit être tracée pour chaque cas individuellement, en tenant compte de toutes les circonstances concrètes (ATF 126 IV 65 , c. 2a, fr. ; ATF 125 IV 17 , c. 2a/aa, JdT 2002 IV 75).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132 IV 12 consid. 8.1; 129 IV 130 consid. 2.1; 126 IV 65 consid. 2a).</w:t>
      </w:r>
    </w:p>
    <w:p>
      <w:r>
        <w:rPr>
          <w:b/>
        </w:rPr>
        <w:t>E. 4.4</w:t>
      </w:r>
    </w:p>
    <w:p>
      <w:r>
        <w:t>En l'espèce, le document litigieux consiste en un écrit rédigé et signé par la mise en cause certifiant qu'elle est la seule représentante légale de C______. Le document était destiné, et a été remis, à la Paroisse D______, qui, fort de celui-ci, a procédé au baptême de l'enfant. Or, selon les documents produits – jugement TPI JTPI/6656/2020 précité et les courriers du SPMi –, le recourant détient l'autorité parentale conjointe sur C______. Ainsi, le document querellé, émanant de son auteur réel mais dont le contenu ne correspond pas à la réalité, est susceptible de constituer un faux intellectuel. Cependant, pour que soit réalisée l'infraction de faux dans les titres, encore faut-il que le document en question ait une valeur probante accrue. Or, au vu de la jurisprudence précitée, tel n'est pas le cas. En effet, une telle qualité ne peut être reconnue audit document, en l'absence d'assurances objectives garantissant la véracité de ce qui y est allégué. En particulier, il n'existe pas de disposition légale définissant le contenu d'une telle déclaration entre particuliers. Ce document constitue en réalité une simple allégation, soit une déclaration unilatérale, faite dans le propre intérêt de celle qui l'a émise. La déclaration en question devait en outre être sujette à vérification, ce qu'admet le recourant en retenant que la paroisse devait se fonder sur " une certification écrite de chaque parent ", de sorte que la destinatrice ne pouvait accorder une quelconque crédibilité accrue à la simple déclaration d'un seul des parents. Pour tous ces motifs, le document litigieux ne possède pas la valeur probante accrue nécessaire à la réalisation de l'infraction de faux dans les titres par un faux intellectuel, mais s'apparente à un simple mensonge écrit, lequel, faute d'être qualifié, n'est pas pénalement relevant (ATF 144 IV 13 consid. 2.3.3). Cela ne signifie toutefois pas que les droits du recourant, notamment en lien avec son autorité parentale conjointe, n'auraient pas été atteints par les agissements décrits. Il appartiendra, dès lors, à l'intéressé, s'il s'y estime fondé de s'en prévaloir devant l'autorité compétente, la Chambre de céans n'étant pas une instance civile.</w:t>
      </w:r>
    </w:p>
    <w:p>
      <w:r>
        <w:rPr>
          <w:b/>
        </w:rPr>
        <w:t>E. 5</w:t>
      </w:r>
    </w:p>
    <w:p>
      <w:r>
        <w:t>Justifiée, l'ordonnance querellée sera donc confirmée et le recours rejeté.![endif]&gt;![if&gt;</w:t>
      </w:r>
    </w:p>
    <w:p>
      <w:r>
        <w:rPr>
          <w:b/>
        </w:rPr>
        <w:t>E. 6</w:t>
      </w:r>
    </w:p>
    <w:p>
      <w:r>
        <w:t>Le recourant,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