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P/6639/2015 vom 23. Juli 2018</w:t>
      </w:r>
    </w:p>
    <w:p>
      <w:r>
        <w:t>GE Cour de justice, 2018-07-23, FR</w:t>
      </w:r>
    </w:p>
    <w:p>
      <w:r>
        <w:rPr>
          <w:b/>
        </w:rPr>
        <w:t xml:space="preserve">Quelle: </w:t>
      </w:r>
      <w:r>
        <w:t>https://mcp.opencaselaw.ch/entscheid/ge_gerichte_P_6639_2015</w:t>
      </w:r>
    </w:p>
    <w:p>
      <w:r>
        <w:t>FR: GE_GERICHTE P/6639/2015 du 23 juillet 2018</w:t>
      </w:r>
    </w:p>
    <w:p>
      <w:r>
        <w:t>IT: GE_GERICHTE P/6639/2015 del 23 luglio 2018</w:t>
      </w:r>
    </w:p>
    <w:p>
      <w:pPr>
        <w:pStyle w:val="Heading2"/>
      </w:pPr>
      <w:r>
        <w:t>Regeste</w:t>
      </w:r>
    </w:p>
    <w:p>
      <w:r>
        <w:t>ADMINISTRATION DES PREUVES ; IN DUBIO PRO REO ; FAUX INTELLECTUEL DANS LES TITRES ; AYANT DROIT ÉCONOMIQUE ; ÉTABLISSEMENT FINANCIER ; USA | CP.251; CPP.10</w:t>
      </w:r>
    </w:p>
    <w:p>
      <w:pPr>
        <w:pStyle w:val="Heading2"/>
      </w:pPr>
      <w:r>
        <w:t>Erwägungen</w:t>
      </w:r>
    </w:p>
    <w:p>
      <w:r>
        <w:rPr>
          <w:b/>
        </w:rPr>
        <w:t>E. 1</w:t>
      </w:r>
    </w:p>
    <w:p>
      <w:r>
        <w:t>L'appel est recevable pour avoir été interjeté et motivé selon la forme et dans les délais prescrits (art. 398 et 399 CPP).![endif]&gt;![if&gt; Dans sa déclaration d'appel, l'appelant a indiqué de manière définitive que l'appel porte sur la question de la culpabilité ainsi que les frais et les indemnités (art. 399 al. 4 let. a et f CPP). La Chambre limite son examen aux violations décrites dans l'acte d'appel (art. 404 al. 1 CPP), sauf en cas de décisions illégales ou inéquitables (art. 404 al. 2 CPP).</w:t>
      </w:r>
    </w:p>
    <w:p>
      <w:r>
        <w:rPr>
          <w:b/>
        </w:rPr>
        <w:t>E. 2.1</w:t>
      </w:r>
    </w:p>
    <w:p>
      <w:r>
        <w:t>À l'audience des débats, le conseil de l'appelant a soulevé pour ce dernier, au titre des questions préjudicielles, l'apport à la procédure de la clé USB de la E______ et diverses auditions.![endif]&gt;![if&gt;</w:t>
      </w:r>
    </w:p>
    <w:p>
      <w:r>
        <w:rPr>
          <w:b/>
        </w:rPr>
        <w:t>E. 2.2</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![endif]&gt;![if&gt;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2.3</w:t>
      </w:r>
    </w:p>
    <w:p>
      <w:r>
        <w:t>En l'espèce, M______ et I______ ont été entendus contradictoirement devant le MP, l'appelant ayant ainsi déjà eu la possibilité de leur poser les questions lui paraissant pertinentes. L'audition des époux H______/F______ n'apparaît pas indispensable à l'appréciation des faits, ces derniers ne pouvant, qu'au mieux, corroborer les allégations de l'appelant. De plus, l'éventualité de les interroger par commission rogatoire aux États-Unis, sans garantie de succès, supposerait une suspension d'une durée conséquente de la procédure, portant atteinte au principe de la célérité. Les informations utiles pour le cas d'espèce que pourraient fournir AA______ et O______ figurent déjà à la procédure, notamment par l'audition de trois (anciens) employés de la banque et la production de certains de leurs courriels. L'interprétation de AA______ sur la notion de domicile au sens de la CDB 08 n'est au surplus pas pertinente, ce qui ressort des considérants qui suivent. Enfin, M e Z______ est intervenu bien ultérieurement aux faits reprochés à l'appelant. Au vu de ce qui précède, les différentes auditions requises n'apparaissent pas décisives ni indispensables à l'établissement des faits de la cause, lesquels sont suffisamment instruits.![endif]&gt;![if&gt; Le contenu de la clé USB remise par la E______ est susceptible de contenir de très nombreux messages au sujet de personnes non concernées par la présente procédure et dont les intérêts dignes de protection impliquent qu'ils n'ont pas à être portés à la connaissance de l'appelant. En lien avec la clé USB et le compte D______, moins de 20 courriels ont été versés à la présente procédure sur demande de la CPAR. De l'avis même de l'appelant, exprimé dans le cadre de son droit d'être entendu, " on peine à discerner en quoi les derniers éléments versés à la procédure sur demande de la Chambre de céans [l'] incriminent ", observation qui peut s'étendre au reste des e-mails. Le but et l'utilité d'un accès total et global au contenu de ladite clé n'est pas démontré ni inféré. Il n'est pas non plus précisé explicitement, en rapport aux échanges entre l'appelant et M______ et I______, sur quels éléments spécifiques et pour quelles dates l'accès à certains courriels figurant sur la clé serait particulièrement nécessaire à l'établissement des faits. Pour toutes les raisons qui précèdent, les réquisitions de preuve ont été rejetées par la CPAR lors de l'audience d'appel.</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3.3.1.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 arrêt du Tribunal fédéral 6B_659/2014 du 22 décembre 2017 consid. 18.1.1). 3.3.2. Un formulaire A, dont le contenu est inexact quant à la personne de l'ayant droit économique, constitue un faux dans les titres au sens de l'art. 251 CP (arrêts du Tribunal fédéral 6B_659/2014 du 22 décembre 2017 consid. 18.1.1 ; 6B_844/2011 du 18 juin 2012 consid. 2.2 ; 6B_574/2011 du 20 février 2012 consid. 2.2.1 ; 6S.346/1999 du 30 novembre 1999 consid. 4 = SJ 2000 I 234). 3.4.1.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in ATF 133 IV 303 ). 3.4.2. La connaissance par certains employés de la banque du véritable ayant droit économique des comptes bancaires sujets à ouverture n'est pas déterminante s'agissant de l'intention de tromper. En effet, la banque n'est pas l'unique destinataire des formulaires A. D'autres tiers – autorités de surveillance, réviseurs externes, autorités de poursuite pénale – peuvent être amenés à apprécier le respect de la LBA où le formulaire A joue un rôle déterminant (arrêts du Tribunal fédéral 6B_574/2011 du 20 février 2012 consid. 2.3.1 ; 6B_706/2009 du 10 mars 2010 consid. 3.2).</w:t>
      </w:r>
    </w:p>
    <w:p>
      <w:r>
        <w:rPr>
          <w:b/>
        </w:rPr>
        <w:t>E. 3.5</w:t>
      </w:r>
    </w:p>
    <w:p>
      <w:r>
        <w:t>En l'espèce, dans la mesure où le contenu d'un formulaire A inexact quant à la personne de l'ayant droit économique constitue un faux, il convient d'examiner si F______ était ou non l'unique bénéficiaire économique des avoirs déposés sur le compte de D______ ouvert auprès de la E______.![endif]&gt;![if&gt; Il ressort de la procédure que la société D______ a été enregistrée dans les Îles britanniques vierges le 19 octobre 2009 par l'appelant pour le compte de ses clients de longue date. À la même époque, l'AFC a ouvert une procédure d'entraide adressée par l'IRS et a demandé à G______ des informations concernant des contribuables américains, parmi lesquels figurait H______. L'appelant a d'ailleurs reconnu un lien de causalité entre la création de D______ et le conflit G______, son client ayant été informé qu'il faisait partie des 4'500 noms susceptibles d'être envoyés aux autorités fiscales américaines. Le 23 août 2010, l'AFC a considéré que toutes les conditions étaient réunies pour accorder l'entraide administrative à l'IRS et lui fournir le dossier G______ de H______. Le 30 août 2010, alors que courait le délai de recours contre la décision de l'AFC, l'appelant a convenu par une " Declaration of Trust " avec les époux H______ de détenir à titre fiduciaire leur participation de 25 % dans P______SA, pour les " rassurer " dans cette période " trouble ". Le conseil de l'appelant a indiqué qu'il existait le risque que l'IRS identifiât le compte joint des époux à la E______ et ainsi le certificat d'actions de P______SA déposé dans les coffres de la banque, en raison de transferts opérés depuis ce compte sur celui de G______. Il a précisé dans un courrier que c'était dans l'attente du résultat du recours formé au TAF contre la décision de l'AFC du 23 août 2010 que les époux H______ avaient confié à l'appelant le mandat de détenir en leur nom ladite participation. En parallèle, l'appelant a appris, selon ses déclarations, la décision de la E______ de se séparer des clients présentant des " indices US ", dont faisaient partie les époux H______ . Bien qu'il semble la contester en appel, cette politique de la banque a été confirmée par ses employés entendus en cours de procédure, en particulier N______. L'appelant a indiqué que dans le but de conserver provisoirement une relation avec la banque, en accord avec les gérants, il avait été décidé de mettre en place une solution de rechange consistant en l'ouverture du compte de D______. Dans ce contexte, une nouvelle relation avec la E______ a été ouverte le 15 septembre 2010 par A______ au nom de D______. Il ressort des documents d'ouverture du compte, dont le formulaire A litigieux et une version du formulaire de données confidentielles, que F______, seule ayant droit économique dudit compte, n'avait aucun lien avec les États-Unis, présentée comme étant célibataire, de nationalité argentine et domiciliée dans une université en Argentine. Elle était de plus prétendument nouvelle cliente de la E______ et l'assistante de l'appelant. Or F______ était américaine depuis 2004, soit six ans avant les faits. Son passeport argentin, dont la copie avait été délivrée à la banque, avait été établi d'urgence deux semaines auparavant, à ______ [USA], alors que le précédent était arrivé à échéance depuis plus d'une année, que son passeport américain était encore valable et qu'aucune urgence, à part celle provoquée par la décision de l'AFC tel que cela ressort du dossier, n'a été alléguée. Par ailleurs, tous les documents figurant à la procédure, antérieurs ou postérieurs aux documents d'ouverture du compte D______, indiquent qu'elle était domiciliée en ______ [USA], malgré des liens qu'elle entretenait avec son pays d'origine. En particulier, selon le " Declaration of Trust ", signé par l'appelant, elle résidait 15 jours avant la signature du formulaire A à ______ [USA]. Dans l'accord qu'elle a signé avec l'IRS en 2014, elle y était également domiciliée. Il paraît ainsi peu vraisemblable que F______ ait eu un domicile officiel ou effectif en Argentine, de plus dans une université, ceci n'ayant d'ailleurs jamais été allégué ou prouvé par pièce. Enfin, l'épouse de H______ apparaissait soudainement sous le nom de F______, certes le sien, alors qu'elle était connue au sein de la banque et dans les dossiers de l'appelant sous celui de Q______. Il est au surplus évident qu'elle n'était pas une nouvelle cliente, qu'elle était mariée et qu'elle n'a jamais été l'assistante de l'appelant. Ainsi, il en ressort une volonté claire de couper tout lien entre F______ et H______, ainsi que de façon générale avec les États-Unis, ce qui peut s'expliquer par la situation susmentionnée. Des avoirs ont été déposés sur ledit compte, provenant, des aveux de l'appelant, du patrimoine commun des époux, ce qui est confirmé par la procédure. L'appelant soutient que H______ avait donné sa part des avoirs du compte joint à son épouse. Or, devant le MP, l'appelant lui-même n'a pas été si catégorique en disant que son client avait " en quelque sorte " fait donation de ses avoirs en mettant leur intégralité au nom de son épouse, qu'il s'agissait de mettre en place une " solution de rechange ", même s'il a été par la suite plus affirmatif en soutenant qu'il y avait " vraiment eu " une donation. Rien dans le dossier ne permet de conclure à une telle donation. Au contraire, plusieurs éléments tendent à démontrer que H______ n'a jamais cessé d'être ayant droit économique des avoirs. Le certificat d'actions de P______SA a été déposé sur le compte de D______ par l'appelant, qui le détenait depuis quelques semaines au nom des époux, et non à celui seul de F______, dans le contexte et pour les raisons susmentionnés. Au demeurant, au cours d'une audition devant le MP, l'appelant a évoqué le cadre en 2010 et les raisons pour lesquelles les époux avaient décidé de lui confier les actions de P______SA à cette époque, sans mentionner particulièrement F______ ni qu'elle aurait pris seule la décision de lui remettre le certificat d'actions. Il ressort également de ses premières déclarations que les époux H______, et non F______, étaient bien les bénéficiaires économiques des 25% de cette société depuis 2005, sans qu'il n'évoque une quelconque interruption ou une donation entre époux. Son conseil a également déclaré que les époux était propriétaire desdites actions. Le 29 août 2014, l'appelant détenait encore le certificat P______SA pour le compte des époux. D'autre part, la traçabilité des sommes de CHF 342'000.- et EUR 84'466.22, provenant du compte joint, a été rompue par le retrait en espèce. À ce sujet, l'appelant a confirmé devant le Tribunal de police que l'opération avait été faite en liquide pour couper les liens entre le compte des époux H______ et le compte D______. Le flou a été entretenu lors de la clarification de l'arrière-plan économique de ce dépôt en espèces, le formulaire indiquant qu'elles provenaient d'" Argentine ", alors que tel n'était manifestement pas le cas, et que le motif pour lequel l'opération était effectuée sous cette forme était " Discrétion ". Ces sommes paraissent avoir été investies dans un bien immobilier et le solde versé sur le compte de D______ au sein de la U______, puis sur celui de H______. Des pièces font état de la situation des avoirs susmentionnés après que le TAF ait rejeté le recours des époux H______, à savoir lorsqu'ils n'avaient plus de raison de dissimuler la propriété de leurs biens, ce que le conseil de l'appelant a confirmé. Dans un e-mail du 20 juillet 2011 adressé à M e Z______, l'appelant indique que les époux H______ possédaient trois biens immobiliers commerciaux par l'intermédiaire de sociétés, dont J______AG et P______SA. Il a de plus, par courrier du 7 septembre 2011, indiqué que H______, et non F______, était propriétaire de 150 titres au porteur de J______AG, préalablement déposés sur le compte joint avant d'avoir transité sur celui de D______. À ce sujet, selon les déclarations de l'appelant, ces actions avaient été vendues au cours de l'année 2015, le produit de leur vente ayant été transféré sur le compte de D______ à Hong Kong puis sur un compte de H______ aux États-Unis. Selon les ordres de transfert figurant à la procédure, il apparaît en effet que la somme de CHF 2'000'000.- a été transférée du compte de D______ de la U______ sur le compte de H______ aux États-Unis. À tous ces éléments s'ajoute le fait qu'aucun contrat écrit de donation ne figure à la procédure. F______ n'est au surplus jamais nommément mentionnée dans les divers emails ou courriers figurant au dossier, où il n'est question que de son mari ou des époux. Ainsi, il est établi qu'aucune donation n'a, en l'espèce, été effectuée entre les époux. Après l'arrêt du TAF, ce n'est ainsi pas un " retour en arrière " que les époux ont effectué, comme l'a déclaré l'appelant. Les documents ont simplement à nouveau reflété la réalité. Il résulte de tout ce qui précède et des indices pris dans leur ensemble qu'il n'existe pas de doute sérieux sur le fait que H______ était encore ayant droit économique d'une partie des avoirs déposés sur le compte D______. F______ n'en était ainsi pas la seule ayant droit économique. Le formulaire A est donc un faux. Dans cette mesure, il n'apparait pas nécessaire de déterminer si l'indication du domicile en Argentine de F______ est également constitutive de faux dans les titres.</w:t>
      </w:r>
    </w:p>
    <w:p>
      <w:r>
        <w:rPr>
          <w:b/>
        </w:rPr>
        <w:t>E. 3.6</w:t>
      </w:r>
    </w:p>
    <w:p>
      <w:r>
        <w:t>L'appelant savait que le formulaire A était un titre et que son contenu ne correspondait pas à la réalité. Sans perdre de vue le contexte et les éléments susmentionnés, il sera rappelé, a l'instar du premier juge, qu'en raison de la longue relation d'affaires entre l'appelant et les époux H______ et les contacts réguliers qu'ils entretenaient, l'appelant savait que F______ était américaine, domiciliée aux États-Unis et que les fonds déposés sur le compte de D______ appartenaient en réalité aux époux. L'appelant a signé le formulaire A litigieux complété par des tiers et n'a jamais allégué avoir agi par négligence ou avoir signé sans avoir lu le contenu du formulaire, ce qui pourrait quand même être constitutif de faux dans les titres (ATF 135 IV 12 consid. 2).![endif]&gt;![if&gt; Dans ses premières déclarations, l'appelant a admis qu'il savait déjà avant septembre 2010 que la E______ avait décidé de se séparer de ses clients américains. Alors que, concernant les époux, la décision de l'AFC d'accorder l'entraide administrative à l'IRS n'était pas encore définitive, l'intention de tromper la banque, par le faux, en coupant tout lien entre le compte joint des époux H______ et le compte D______, est établie en l'espèce. La banque avait clairement décidé de se séparer de ses clients avec " indices US " dont la situation n'était pas régularisée comme cela ressort des déclarations du témoin N______ ainsi que des échanges de courriels versés au dossier, tels que celui de O______ et les réactions que ledit e-mail a suscitées, ceci même si d'autres employés ont pu être au courant de certains faits, ce qui au demeurant n'est pas démontré. Ce qui précède est d'ailleurs confirmé par la clôture du compte D______ après la découverte par le fichier central " d'indices US " dissimulés et le courroux de N______ qui démontrent à l'évidence que l'ouverture d'un tel compte n'était pas autorisée. Le chiffre 11 de l'accord entre le E______ et l'IRS relevant que la banque aurait jusqu'en 2013 aidé des clients à ouvrir et à maintenir des comptes non déclarés aux Etats-Unis ne signifie pas que la banque était d'accord d'ouvrir cette nouvelle relation avec les époux H______ à l'automne 2010, ce que l'appelant n'ignorait pas. Tant les circonstances de l'ouverture du nouveau compte par l'appelant, que le retrait du compte joint puis l'apport en cash auquel il a procédé sur ce dernier dans la foulée éclairent une volonté de sa part d'éviter une traçabilité entre les deux comptes. L'existence d'un formulaire A coupant tout lien avec un " indice US " prend tout son sens dans ce contexte. L'ouverture du compte n'avait pas pour unique but de rassurer ses clients, mais bien de leur procurer un avantage illicite, à savoir garder une relation avec un établissement bancaire, alors que celui-ci avait décidé de se séparer de la clientèle US. Peu importe, à cet égard, qu'ils eussent pu ouvrir une nouvelle relation dans une autre banque. Sans le faux, il n'était pas possible pour D______ d'ouvrir un compte au sein de la E______. Le dessein spécial est partant donné.</w:t>
      </w:r>
    </w:p>
    <w:p>
      <w:r>
        <w:rPr>
          <w:b/>
        </w:rPr>
        <w:t>E. 3.7</w:t>
      </w:r>
    </w:p>
    <w:p>
      <w:r>
        <w:t>Au vu de tout ce qui précède, le jugement entrepris sera confirmé.![endif]&gt;![if&gt;</w:t>
      </w:r>
    </w:p>
    <w:p>
      <w:r>
        <w:rPr>
          <w:b/>
        </w:rPr>
        <w:t>E. 4.1</w:t>
      </w:r>
    </w:p>
    <w:p>
      <w:r>
        <w:t>L'art. 251 ch. 1 CP prévoit le prononcé d'une peine privative de liberté de cinq au plus ou d'une peine pécuniaire. ![endif]&gt;![if&gt;</w:t>
      </w:r>
    </w:p>
    <w:p>
      <w:r>
        <w:rPr>
          <w:b/>
        </w:rPr>
        <w:t>E. 4.2</w:t>
      </w:r>
    </w:p>
    <w:p>
      <w:r>
        <w:t>A l'aune de l'art. 2 CP, la réforme du droit des sanctions, entrée en vigueur au 1 er janvier 2018, est globalement moins favorable à la personne condamnée qui pourra ainsi revendiquer l'application du droit en vigueur au 31 décembre 2017, si les actes qu'il a commis l'ont été sous l'empire de ce droit, ce qui est le cas en l'espèce. ![endif]&gt;![if&gt;</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4.4</w:t>
      </w:r>
    </w:p>
    <w:p>
      <w:r>
        <w:t>Conformément à l'art. 34 aCP,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2).![endif]&gt;![if&gt;</w:t>
      </w:r>
    </w:p>
    <w:p>
      <w:r>
        <w:rPr>
          <w:b/>
        </w:rPr>
        <w:t>E. 4.5</w:t>
      </w:r>
    </w:p>
    <w:p>
      <w:r>
        <w:t>En l'espèce, l'appelant n'a pas pris de conclusions subsidiaires sur la peine, laquelle n'est contestée ni dans sa nature, ni dans sa quotité. ![endif]&gt;![if&gt; Comme retenu par le premier juge, la faute de l'appelant n'est pas négligeable, dans la mesure où il a agi en qualité de professionnel et d'intermédiaire financier expérimenté. L'importance de la véracité et de la précision des indications contenues dans le formulaire A ne pouvait pas être prise à la légère, ce que l'appelant a pourtant fait. Son mobile était d'aider ses clients à conserver une relation bancaire, probablement en lien avec la procédure d'entraide fiscale et ses conséquences. Sa situation personnelle n'explique pas son acte. Il s'agit d'un acte unique. Le prévenu a fait preuve d'une bonne collaboration dans un premier temps puis a intégralement contesté les faits démontrant par là une prise de conscience inachevée. La peine de 50 jours-amende consacre une application correcte des critères fixés à l'art. 47 CP. Elle tient compte de manière adéquate de la gravité de la faute et de la situation personnelle de l'appelant et sera par conséquent confirmée. Le montant du jour-amende fixé à CHF 290.- l'unité, non contesté, est conforme à sa situation financière. Le principe du sursis lui est acquis (art. 391 al. 2 CPP). Le jugement entrepris sera par conséquent entièrement confirmé.</w:t>
      </w:r>
    </w:p>
    <w:p>
      <w:r>
        <w:rPr>
          <w:b/>
        </w:rPr>
        <w:t>E. 5</w:t>
      </w:r>
    </w:p>
    <w:p>
      <w:r>
        <w:t>L'appelant, qui succombe, sera condamné au paiement des frais de la procédure d'appel envers l'État, comprenant dans leur totalité un émolument de CHF 3'000.- (art. 428 CPP et 14 al. 1 let. e du règlement fixant le tarif des frais en matière pénale du 22 décembre 2010 [RS E 4 10.03]). ![endif]&gt;![if&gt;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