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P/6627/2018 vom 25. September 2019</w:t>
      </w:r>
    </w:p>
    <w:p>
      <w:r>
        <w:t>GE Cour de justice, 2019-09-25, FR</w:t>
      </w:r>
    </w:p>
    <w:p>
      <w:r>
        <w:rPr>
          <w:b/>
        </w:rPr>
        <w:t xml:space="preserve">Quelle: </w:t>
      </w:r>
      <w:r>
        <w:t>https://mcp.opencaselaw.ch/entscheid/ge_gerichte_P_6627_2018</w:t>
      </w:r>
    </w:p>
    <w:p>
      <w:r>
        <w:t>FR: GE_GERICHTE P/6627/2018 du 25 septembre 2019</w:t>
      </w:r>
    </w:p>
    <w:p>
      <w:r>
        <w:t>IT: GE_GERICHTE P/6627/2018 del 25 settembre 2019</w:t>
      </w:r>
    </w:p>
    <w:p>
      <w:pPr>
        <w:pStyle w:val="Heading2"/>
      </w:pPr>
      <w:r>
        <w:t>Regeste</w:t>
      </w:r>
    </w:p>
    <w:p>
      <w:r>
        <w:t>CIRCULATION ROUTIÈRE(DROIT DE LA CIRCULATION ROUTIÈRE);FIXATION DE LA PEINE | LCR.90.al2; CPP.302.al3; aCP.34; aCP.42.al4; CP.106</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p. 348 s.).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2.2.3.3 p. 351 s.).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ATF 144 IV 345 consid. 2.2.3.3 p. 351).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2.1.3. En matière de circulation routière, le conducteur d'un véhicule automobile ne saurait se voir condamner pour une infraction que s'il est établi à satisfaction de droit qu'il en est bien l'auteur.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S'il arrive à la conclusion que le détenteur, malgré ses dénégations, est bien le conducteur fautif, la condamnation est fondée (ATF 106 IV 142 consid. 3 p. 142). Il ne suffit pas au détenteur d'invoquer le droit au silence ou le droit de ne pas s'auto-incriminer pour échapper à une sanction lorsque sa culpabilité n'est pas douteuse (arrêts du Tribunal fédéral 6B_914/2015 du 30 juin 2016 consid. 1.2 ; 6B_237/2015 du 16 février 2016 consid. 2.1 et les références citées). 2.1.4. Selon l'art 302 al. 3 CPP, les personnes qui ont le droit de refuser de déposer ou de témoigner selon les art. 113, al. 1, 168, 169 et 180, al. 1, ne sont pas soumises à l'obligation de dénoncer. 2.2.1. 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2.2.2. À teneur de l'art. 90 al. 2 LCR, est considérée comme grave et sanctionnée par peine privative de liberté de trois ans au plus ou une peine pécuniaire, la violation grossière d'une règle fondamentale, qui crée un sérieux danger pour la vie d'autrui, même de manière abstraite. Le cas est objectivement grave au sens de l'art. 90 al. 2 LCR, sans égard aux circonstances concrètes, en cas de dépassement de la vitesse autorisée de 25 km/h ou plus à l'intérieur des localités (ATF 132 II 234 consid. 3.1 p. 237 s. ; 124 II 259 consid. 2b p. 261 ss ; 123 II 106 consid. 2c p. 113 et les références citées). Subjectivement, l'état de fait de l'art. 90 al. 2 LCR exige, selon la jurisprudence, un comportement sans scrupules ou gravement contraire aux règles de la circulation, c'est-à-dire une faute grave et, en cas d'acte commis par négligence, à tout le moins une négligence grossière.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 du Tribunal fédéral 6B_665/2015 du 15 septembre 2016 consid. 2.1.2 et les références). Plus la violation de la règle de la circulation apparaît objectivement grave, plus facilement sera admis l'existence d'une absence de scrupule, sauf indice particulier permettant de retenir le contraire. L'acceptation de l'absence de scrupules ne peut cependant pas être déduite de toute inattention (cf. ATF 142 IV 93 consid. 3.1 p. 96 et les références ; ATF 143 IV 500 consid. 2 ; arrêt du Tribunal fédéral 6B_23/2016 du 9 décembre 2016 consid. 3.2).</w:t>
      </w:r>
    </w:p>
    <w:p>
      <w:r>
        <w:rPr>
          <w:b/>
        </w:rPr>
        <w:t>E. 2.3</w:t>
      </w:r>
    </w:p>
    <w:p>
      <w:r>
        <w:t>L'appelant n'a jamais contesté l'importance du dépassement de vitesse de 37 km/h, marge de sécurité de 5 km/h déduite, sur un tronçon limité à 50 km/h, tel qu'enregistré par un radar le 17 octobre 2017 à 21h50, ni la qualification d'infraction à l'art. 90 al. 2 LCR. Il remet formellement en cause le fait d'avoir conduit le motocycle incriminé, dont il était le détenteur, l'utilisateur principal - n'ayant aucun autre véhicule - au moment des faits et exclut donc avoir pu être l'auteur de cet excès de vitesse. Après avoir vu la photo prise par le radar, il a prétendu savoir qui conduisait alors son motocycle mais s'est prévalu de son droit de ne pas le dénoncer. Ses père et mère et deux frères, entendus par la police, ont formellement exclu être l'auteur du dépassement de vitesse (père et mère), respectivement n'ont pas souhaité s'exprimer à ce sujet ou dit ne pas s'en souvenir (les deux frères). Le père et la mère, les seuls avec le prévenu à être titulaires du permis leur permettant de conduire son motocycle 250 cm 3, ont dit emprunter le motocycle de leur fils très rarement. Aucun des membres de la famille proche n'a donné son emploi du temps pour la soirée en question et enfin aucun d'eux ne disposait du double des clés du scooter, le frère cadet du prévenu ayant aussi refusé de répondre sur ce point. Le prévenu a concédé n'avoir qu'un jeu de clé, un boîtier électronique. Le prévenu s'est contredit ou à tout le moins a donné une explication peu convaincante et non étayée d'un domicile ou une résidence différents de son adresse officielle au chemin ______ au ______ (GE). Or cette adresse a été donnée par lui-même dans l'" Avis au détenteur " du 31 octobre 2017 et dans son courrier à la police du 22 décembre 2017. Ce domicile est éloigné par route de cinq minutes seulement environ du lieu de l'infraction, alors que le motocycliste en infraction roulait dans cette direction, à une heure de la soirée en semaine où l'on est susceptible de rentrer chez soi. Le prévenu a refusé sans raison valable de donner l'identité du tiers avec lequel il aurait vécu à 5______ (GE). Dans la mesure où cette information est pénalement neutre, on ne voit pas le motif d'un tel refus au-delà du droit du prévenu de ne pas répondre. Or ce tiers aurait pu étayer ses propos à décharge ; l'absence d'information à ce sujet conduit à douter de la réalité du domicile du prévenu à 5______ (GE). Le prévenu a d'ailleurs aussi indiqué qu'au moment des faits l'appartement en question était habité en réalité par un membre de sa famille, en refusant toutefois d'indiquer son identité. Il est dans ces circonstances bien peu probable qu'un proche, ne disposant pas de la seule clé du scooter, résidant à ______ (GE) (père, mère et frère cadet), respectivement à proximité du ______ - ______ (GE) (le frère aîné) ait emprunté le véhicule du prévenu, pour circuler en direction de son domicile un jour de semaine, à une heure avancée de la soirée. Enfin, l'appelant a été condamné pour violations de la LCR en octobre 2011 et 2012, dont une violation grave, et connait les tenants et aboutissants de telles infractions, impliquant notamment, au niveau administratif, le retrait du permis de conduire pour une certaine durée, ainsi qu'une amende. Compte tenu de ces éléments, la CPAR considère qu'il existe un faisceau d'indices convergents suffisant, allant au-delà de tout doute raisonnable, pour retenir que l'appelant est bien l'auteur de l'excès de vitesse du 17 octobre 2017. Sa condamnation pour infraction à l'art. 90 al. 2 LCR sera partant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3.1.2. Les nouvelles dispositions sur le droit des sanctions sont entrées en vigueur le 1 er janvier 2018. En l'espèce, l'application de l'ancien ou du nouveau droit ne conduit pas à une solution différente s'agissant des critères de fixation et d'atténuation de la peine. La nouvelle mouture de l'art. 34 al. 1 CP, qui prévoit que la peine pécuniaire ne peut excéder 180 jours-amende, n'emporte pas conséquence in casu. La novelle n'étant pas plus favorable à l'intimé ( lex mitior ), l'ancien droit s'applique (art. 2 CP). 3.1.3.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3.1.4. Selon l'art. 42 al. 4 aCP,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ATF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3.1.5.1.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3.1.5.2. Le législateur a expressément renoncé à prévoir un taux légal de conversion, estimant qu'un système trop rigide pouvait poser des problèmes, tout en admettant qu'en pratique, un taux de conversion standardisé était susceptible de s'imposer pour les cas habituels (Message du 21 septembre 1998 concernant la modification du Code pénal suisse et du Code pénal militaire ainsi qu'une loi fédérale régissant la condition pénale des mineurs [FF 1999 1952]). Un jour de peine privative de liberté de substitution (art. 106 al. 2 CP) correspond schématiquement à CHF 100.- d'amende (R. ROTH / L. MOREILLON [éds], Code pénal I : art. 1-100 CP , Bâle 2009, n. 19 art. 106), taux de conversion généralement appliqué et admis par la jurisprudence. Le juge doit toutefois pouvoir s'écarter de cette solution,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Jugendstrafgesetz , 3e éd., Bâle 2019, n. 9-10, ad art. 106).</w:t>
      </w:r>
    </w:p>
    <w:p>
      <w:r>
        <w:rPr>
          <w:b/>
        </w:rPr>
        <w:t>E. 3.2</w:t>
      </w:r>
    </w:p>
    <w:p>
      <w:r>
        <w:t>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3.4</w:t>
      </w:r>
    </w:p>
    <w:p>
      <w:r>
        <w:t>En l'espèce l'appelant ne critique pas spécifiquement la peine, au-delà de l'acquittement plaidé. Comme retenu à juste titre par le premier juge, sa faute est importante. Il a commis, au guidon de son motocycle, un excès de vitesse de 37 km/h dans une localité, en soirée. Il a agi par pure convenance personnelle, certes sur une route sèche, dans de bonnes conditions météorologiques et alors que le trafic était fluide sur sa voie, mais au détriment de la sécurité d'autrui et sans considération pour les règles applicables. Le premier juge a tenu compte des bonnes conditions de circulation en prononçant une peine pécuniaire de 90 jours-amende, adaptée au degré de la faute de l'appelant et à sa situation personnelle. Ce dernier ne la remet d'ailleurs pas en cause en appel, pas plus que le montant du jour-amende à CHF 150.-. Au vu de l'importance de la faute, le prononcé d'une amende en sus s'impose. Fixée à CHF 2'700.- par le premier juge, elle respecte pleinement la jurisprudence sus-rappelée, puisque dite amende est une sanction additionnelle à la peine principale prononcée. La peine privative de liberté de substitution de 18 jours est favorable au prévenu compte tenu de la proportion usuellement appliquée et de sa fortune et sera confirmée en application du principe de l'interdiction de la reformatio in pejus .</w:t>
      </w:r>
    </w:p>
    <w:p>
      <w:r>
        <w:rPr>
          <w:b/>
        </w:rPr>
        <w:t>E. 4</w:t>
      </w:r>
    </w:p>
    <w:p>
      <w:r>
        <w:t>L'appelant, qui succombe, sera condamné aux frais de la procédure qui comprennent un émolument de CHF 2'000.- (art. 428 al. 1 CPP ; 14 al. 1 let. e du règlement du 22 décembre 2010 fixant le tarif des frais et dépens en matière pénale ([...4 10.03]).</w:t>
      </w:r>
    </w:p>
    <w:p>
      <w:r>
        <w:rPr>
          <w:b/>
        </w:rPr>
        <w:t>E. 5</w:t>
      </w:r>
    </w:p>
    <w:p>
      <w:r>
        <w:t>Pour cette même raison, il ne saurait prétendre à quelconque indemnisation fondée sur l'art. 429 CPP de sorte que ses prétentions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